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lang w:val="en-US" w:eastAsia="zh-CN"/>
        </w:rPr>
        <w:t>校本部</w:t>
      </w:r>
      <w:r>
        <w:rPr>
          <w:rFonts w:hint="eastAsia" w:ascii="华文中宋" w:hAnsi="华文中宋" w:eastAsia="华文中宋"/>
          <w:b/>
          <w:bCs/>
          <w:sz w:val="50"/>
          <w:szCs w:val="44"/>
        </w:rPr>
        <w:t>宿舍加固设计项目</w:t>
      </w:r>
      <w:r>
        <w:rPr>
          <w:rFonts w:ascii="华文中宋" w:hAnsi="华文中宋" w:eastAsia="华文中宋"/>
          <w:b/>
          <w:bCs/>
          <w:sz w:val="50"/>
          <w:szCs w:val="44"/>
        </w:rPr>
        <w:t xml:space="preserve"> </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二四年七月</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w:t>
      </w:r>
      <w:r>
        <w:rPr>
          <w:rFonts w:hint="eastAsia" w:ascii="宋体" w:hAnsi="宋体" w:cs="宋体"/>
          <w:szCs w:val="21"/>
          <w:lang w:eastAsia="zh-CN"/>
        </w:rPr>
        <w:t>校本部宿舍</w:t>
      </w:r>
      <w:r>
        <w:rPr>
          <w:rFonts w:hint="eastAsia" w:ascii="宋体" w:hAnsi="宋体" w:cs="宋体"/>
          <w:szCs w:val="21"/>
        </w:rPr>
        <w:t xml:space="preserve">加固设计项目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服务类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4"/>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4"/>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4"/>
        <w:jc w:val="both"/>
        <w:rPr>
          <w:rFonts w:cs="宋体"/>
        </w:rPr>
      </w:pPr>
      <w:r>
        <w:rPr>
          <w:rFonts w:hint="eastAsia" w:cs="宋体"/>
        </w:rPr>
        <w:t>评标方法</w:t>
      </w:r>
    </w:p>
    <w:tbl>
      <w:tblPr>
        <w:tblStyle w:val="17"/>
        <w:tblW w:w="9078" w:type="dxa"/>
        <w:jc w:val="center"/>
        <w:tblCellSpacing w:w="0" w:type="dxa"/>
        <w:tblLayout w:type="autofit"/>
        <w:tblCellMar>
          <w:top w:w="45" w:type="dxa"/>
          <w:left w:w="45" w:type="dxa"/>
          <w:bottom w:w="45" w:type="dxa"/>
          <w:right w:w="45" w:type="dxa"/>
        </w:tblCellMar>
      </w:tblPr>
      <w:tblGrid>
        <w:gridCol w:w="8934"/>
        <w:gridCol w:w="632"/>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5"/>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5"/>
              <w:widowControl/>
              <w:spacing w:line="324" w:lineRule="auto"/>
              <w:ind w:left="420"/>
              <w:rPr>
                <w:sz w:val="21"/>
                <w:szCs w:val="21"/>
              </w:rPr>
            </w:pPr>
            <w:r>
              <w:rPr>
                <w:sz w:val="21"/>
                <w:szCs w:val="21"/>
              </w:rPr>
              <w:t>投标报价得分=(评标基准价／投标报价)×100</w:t>
            </w:r>
          </w:p>
          <w:p>
            <w:pPr>
              <w:pStyle w:val="15"/>
              <w:widowControl/>
              <w:spacing w:line="324" w:lineRule="auto"/>
              <w:ind w:left="420"/>
              <w:rPr>
                <w:sz w:val="21"/>
                <w:szCs w:val="21"/>
              </w:rPr>
            </w:pPr>
            <w:r>
              <w:rPr>
                <w:sz w:val="21"/>
                <w:szCs w:val="21"/>
              </w:rPr>
              <w:t xml:space="preserve">评标总得分＝F1×A1＋F2×A2＋……＋Fn×An </w:t>
            </w:r>
          </w:p>
          <w:p>
            <w:pPr>
              <w:pStyle w:val="15"/>
              <w:widowControl/>
              <w:spacing w:line="324" w:lineRule="auto"/>
              <w:ind w:left="420"/>
              <w:rPr>
                <w:sz w:val="21"/>
                <w:szCs w:val="21"/>
              </w:rPr>
            </w:pPr>
            <w:r>
              <w:rPr>
                <w:sz w:val="21"/>
                <w:szCs w:val="21"/>
              </w:rPr>
              <w:t xml:space="preserve">F1、F2……Fn分别为各项评审因素的得分； </w:t>
            </w:r>
          </w:p>
          <w:p>
            <w:pPr>
              <w:pStyle w:val="15"/>
              <w:widowControl/>
              <w:spacing w:line="324" w:lineRule="auto"/>
              <w:ind w:left="420"/>
              <w:rPr>
                <w:sz w:val="21"/>
                <w:szCs w:val="21"/>
              </w:rPr>
            </w:pPr>
            <w:r>
              <w:rPr>
                <w:sz w:val="21"/>
                <w:szCs w:val="21"/>
              </w:rPr>
              <w:t xml:space="preserve">A1、A2、……An 分别为各项评审因素所占的权重(A1＋A2＋……＋An＝1)。 </w:t>
            </w:r>
          </w:p>
          <w:p>
            <w:pPr>
              <w:pStyle w:val="15"/>
              <w:widowControl/>
              <w:spacing w:line="324" w:lineRule="auto"/>
              <w:ind w:left="420"/>
              <w:rPr>
                <w:sz w:val="21"/>
                <w:szCs w:val="21"/>
              </w:rPr>
            </w:pPr>
            <w:r>
              <w:rPr>
                <w:sz w:val="21"/>
                <w:szCs w:val="21"/>
              </w:rPr>
              <w:t xml:space="preserve">评标过程中，不得去掉报价中的最高报价和最低报价。 </w:t>
            </w:r>
          </w:p>
          <w:p>
            <w:pPr>
              <w:pStyle w:val="15"/>
              <w:widowControl/>
              <w:spacing w:line="324" w:lineRule="auto"/>
              <w:ind w:left="420"/>
              <w:rPr>
                <w:sz w:val="21"/>
                <w:szCs w:val="21"/>
              </w:rPr>
            </w:pPr>
            <w:r>
              <w:rPr>
                <w:sz w:val="21"/>
                <w:szCs w:val="21"/>
              </w:rPr>
              <w:t>此方法适用于货物类、服务类、工程类项目。</w:t>
            </w:r>
          </w:p>
          <w:tbl>
            <w:tblPr>
              <w:tblStyle w:val="17"/>
              <w:tblpPr w:leftFromText="180" w:rightFromText="180" w:vertAnchor="text" w:horzAnchor="page" w:tblpX="-6" w:tblpY="641"/>
              <w:tblOverlap w:val="never"/>
              <w:tblW w:w="946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53"/>
              <w:gridCol w:w="861"/>
              <w:gridCol w:w="787"/>
              <w:gridCol w:w="5294"/>
              <w:gridCol w:w="18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53" w:type="dxa"/>
                  <w:noWrap w:val="0"/>
                  <w:vAlign w:val="center"/>
                </w:tcPr>
                <w:p>
                  <w:pPr>
                    <w:autoSpaceDE w:val="0"/>
                    <w:autoSpaceDN w:val="0"/>
                    <w:adjustRightIn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861" w:type="dxa"/>
                  <w:noWrap w:val="0"/>
                  <w:vAlign w:val="center"/>
                </w:tcPr>
                <w:p>
                  <w:pPr>
                    <w:autoSpaceDE w:val="0"/>
                    <w:autoSpaceDN w:val="0"/>
                    <w:adjustRightIn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内容</w:t>
                  </w:r>
                </w:p>
              </w:tc>
              <w:tc>
                <w:tcPr>
                  <w:tcW w:w="787" w:type="dxa"/>
                  <w:noWrap w:val="0"/>
                  <w:vAlign w:val="center"/>
                </w:tcPr>
                <w:p>
                  <w:pPr>
                    <w:autoSpaceDE w:val="0"/>
                    <w:autoSpaceDN w:val="0"/>
                    <w:adjustRightIn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权重</w:t>
                  </w:r>
                </w:p>
              </w:tc>
              <w:tc>
                <w:tcPr>
                  <w:tcW w:w="5294" w:type="dxa"/>
                  <w:noWrap w:val="0"/>
                  <w:vAlign w:val="center"/>
                </w:tcPr>
                <w:p>
                  <w:pPr>
                    <w:autoSpaceDE w:val="0"/>
                    <w:autoSpaceDN w:val="0"/>
                    <w:adjustRightIn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评分规则</w:t>
                  </w:r>
                </w:p>
              </w:tc>
              <w:tc>
                <w:tcPr>
                  <w:tcW w:w="1866" w:type="dxa"/>
                  <w:noWrap w:val="0"/>
                  <w:vAlign w:val="center"/>
                </w:tcPr>
                <w:p>
                  <w:pPr>
                    <w:autoSpaceDE w:val="0"/>
                    <w:autoSpaceDN w:val="0"/>
                    <w:adjustRightIn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53"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w:t>
                  </w:r>
                </w:p>
              </w:tc>
              <w:tc>
                <w:tcPr>
                  <w:tcW w:w="861"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价格部分</w:t>
                  </w:r>
                </w:p>
              </w:tc>
              <w:tc>
                <w:tcPr>
                  <w:tcW w:w="787"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w:t>
                  </w:r>
                </w:p>
              </w:tc>
              <w:tc>
                <w:tcPr>
                  <w:tcW w:w="5294"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价格分采用低价优先法计算，即满足招标文件要求且投标价格最低的投标报价为评标基准价，其价格分为满分。其他投标人的价格分统一按照下列公式计算：</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投标报价得分=(评标基准价／投标报价)×权重</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备注：</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1、因落实政府采购政策进行价格调整的，以调整后的价格计算评标基准价和投标报价；</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2、投标报价得分四舍五入后，小数点后保留两位有效数。</w:t>
                  </w:r>
                </w:p>
              </w:tc>
              <w:tc>
                <w:tcPr>
                  <w:tcW w:w="1866" w:type="dxa"/>
                  <w:noWrap w:val="0"/>
                  <w:vAlign w:val="center"/>
                </w:tcPr>
                <w:p>
                  <w:pPr>
                    <w:autoSpaceDE w:val="0"/>
                    <w:autoSpaceDN w:val="0"/>
                    <w:adjustRightInd w:val="0"/>
                    <w:spacing w:line="360" w:lineRule="exact"/>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53"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w:t>
                  </w:r>
                </w:p>
              </w:tc>
              <w:tc>
                <w:tcPr>
                  <w:tcW w:w="861"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技术部分</w:t>
                  </w:r>
                </w:p>
              </w:tc>
              <w:tc>
                <w:tcPr>
                  <w:tcW w:w="787"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62</w:t>
                  </w:r>
                </w:p>
              </w:tc>
              <w:tc>
                <w:tcPr>
                  <w:tcW w:w="5294"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p>
              </w:tc>
              <w:tc>
                <w:tcPr>
                  <w:tcW w:w="1866" w:type="dxa"/>
                  <w:noWrap w:val="0"/>
                  <w:vAlign w:val="center"/>
                </w:tcPr>
                <w:p>
                  <w:pPr>
                    <w:autoSpaceDE w:val="0"/>
                    <w:autoSpaceDN w:val="0"/>
                    <w:adjustRightInd w:val="0"/>
                    <w:spacing w:line="360" w:lineRule="exact"/>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39" w:hRule="atLeast"/>
              </w:trPr>
              <w:tc>
                <w:tcPr>
                  <w:tcW w:w="653"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861"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zh-CN" w:eastAsia="zh-CN" w:bidi="ar-SA"/>
                    </w:rPr>
                    <w:t>对项目的理解和</w:t>
                  </w:r>
                  <w:r>
                    <w:rPr>
                      <w:rFonts w:hint="eastAsia" w:ascii="Times New Roman" w:hAnsi="Times New Roman" w:eastAsia="宋体" w:cs="Times New Roman"/>
                      <w:color w:val="auto"/>
                      <w:kern w:val="2"/>
                      <w:sz w:val="21"/>
                      <w:szCs w:val="21"/>
                      <w:highlight w:val="none"/>
                      <w:lang w:val="en-US" w:eastAsia="zh-CN" w:bidi="ar-SA"/>
                    </w:rPr>
                    <w:t>实施方案</w:t>
                  </w:r>
                </w:p>
              </w:tc>
              <w:tc>
                <w:tcPr>
                  <w:tcW w:w="787"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w:t>
                  </w:r>
                </w:p>
              </w:tc>
              <w:tc>
                <w:tcPr>
                  <w:tcW w:w="5294"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（一）评分内容： </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投标人需以本项目要求提供对项目的理解和实施方案，包括以下内容：</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（1）投标人需要针对采购人的项目现状和问题进行详细分析，结合采购人需求给出合理建议；</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（2）投标人需要针对本项目招标的各项服务需求，制定详细的设计方案分析及主要空间效果图。</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（二）评分依据：</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投标人提供的实施方案每满足以上1点的得3分，最高得6分。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在以上评审内容的基础上，专家根据各投标人的具体响应内容进一步评审加分：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（1）实施方案内容全面具体、科学合理、针对性强、可操作性强，对招标人现状和问题分析以及给出的建议合理，评价为优，加4分；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（2）实施方案内容基本全面、基本合理、有针对性、基本可操作，对招标人的现状和问题分析以及给出的建议基本合理；评价为良，加2分；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（3）实施方案内容全面性一般、合理性一般、针对性一般、可操作性一般，对招标人的现状和问题分析以及给出的建议合理性一般；评价为中，加1分；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（4）实施方案内容不全面、不合理、针对性不强、可操作性不强，对招标人的现状和问题分析以及给出的设建议不合理；评价为差，不加分。</w:t>
                  </w:r>
                </w:p>
              </w:tc>
              <w:tc>
                <w:tcPr>
                  <w:tcW w:w="1866" w:type="dxa"/>
                  <w:noWrap w:val="0"/>
                  <w:vAlign w:val="center"/>
                </w:tcPr>
                <w:p>
                  <w:pPr>
                    <w:autoSpaceDE w:val="0"/>
                    <w:autoSpaceDN w:val="0"/>
                    <w:adjustRightInd w:val="0"/>
                    <w:spacing w:line="360" w:lineRule="exact"/>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653" w:type="dxa"/>
                  <w:noWrap w:val="0"/>
                  <w:vAlign w:val="center"/>
                </w:tcPr>
                <w:p>
                  <w:pPr>
                    <w:jc w:val="left"/>
                    <w:rPr>
                      <w:rFonts w:hint="eastAsia"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kern w:val="2"/>
                      <w:sz w:val="21"/>
                      <w:szCs w:val="21"/>
                      <w:highlight w:val="none"/>
                      <w:lang w:val="en-US" w:eastAsia="zh-CN" w:bidi="ar-SA"/>
                    </w:rPr>
                    <w:t>2</w:t>
                  </w:r>
                </w:p>
              </w:tc>
              <w:tc>
                <w:tcPr>
                  <w:tcW w:w="861"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项目重点难点分析、应对措施及相关的合理化建议</w:t>
                  </w:r>
                </w:p>
              </w:tc>
              <w:tc>
                <w:tcPr>
                  <w:tcW w:w="787"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w:t>
                  </w:r>
                </w:p>
              </w:tc>
              <w:tc>
                <w:tcPr>
                  <w:tcW w:w="5294"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（一）评分内容：</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考察投标人提供的项目重点难点分析、应对措施及相关的合理化建议，包含以下内容：</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1、项目重点难点分析；</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2、针对项目重点难点逐项提出应对措施；</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3、相关的合理化建议。</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（二）评分标准：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方案包含以上三项内容得6分；包含以上二项内容得3分；包含以上一项内容得2分；其他情况不得分。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在此基础上，根据方案响应情况进一步评审：</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1.方案内容具体、针对性强、科学合理、可操作性强的加4分；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2.方案内容较具体、针对性较强、较科学合理、可操作性较强加2分；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3.方案内容具体性一般、针对性一般、科学合理性一般、可操作性一般的加1分；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4.其他情况不加分。</w:t>
                  </w:r>
                </w:p>
              </w:tc>
              <w:tc>
                <w:tcPr>
                  <w:tcW w:w="1866" w:type="dxa"/>
                  <w:noWrap w:val="0"/>
                  <w:vAlign w:val="center"/>
                </w:tcPr>
                <w:p>
                  <w:pPr>
                    <w:spacing w:line="360" w:lineRule="exact"/>
                    <w:jc w:val="center"/>
                    <w:rPr>
                      <w:rFonts w:ascii="仿宋" w:hAnsi="仿宋" w:eastAsia="仿宋" w:cs="仿宋"/>
                      <w:color w:val="auto"/>
                      <w:sz w:val="24"/>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653"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w:t>
                  </w:r>
                </w:p>
              </w:tc>
              <w:tc>
                <w:tcPr>
                  <w:tcW w:w="861"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质量保障措施及方案</w:t>
                  </w:r>
                </w:p>
              </w:tc>
              <w:tc>
                <w:tcPr>
                  <w:tcW w:w="787"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w:t>
                  </w:r>
                </w:p>
              </w:tc>
              <w:tc>
                <w:tcPr>
                  <w:tcW w:w="5294"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（一）评分内容：</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考察投标人提供的项目质量保障措施及方案。具体内容包括但不限于：</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1.保障项目质量的相关管理制度；</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2.服务质量检查、整改方案、项目成功把控方案；</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3.项目实施过程中服务人员稳定措施；</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4.项目成果安全性保障措施。</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包括以上四项内容的得6分，包括以上三项内容的得4分，包括以上两项内容的得2分，包括以上一项内容的得1分，其他情况不得分。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在此基础上，根据方案响应情况进一步评审：</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1.实施方案内容具体、针对性强、科学合理、可操作性强的加4分；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2.实施方案内容较具体、针对性较强、较科学合理、可操作性较强加2分；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3.实施方案内容具体性一般、针对性一般、科学合理性一般、可操作性一般的加1分；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4.其他情况不加分。</w:t>
                  </w:r>
                </w:p>
              </w:tc>
              <w:tc>
                <w:tcPr>
                  <w:tcW w:w="1866" w:type="dxa"/>
                  <w:noWrap w:val="0"/>
                  <w:vAlign w:val="center"/>
                </w:tcPr>
                <w:p>
                  <w:pPr>
                    <w:autoSpaceDE w:val="0"/>
                    <w:autoSpaceDN w:val="0"/>
                    <w:adjustRightInd w:val="0"/>
                    <w:spacing w:line="360" w:lineRule="exact"/>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4" w:hRule="atLeast"/>
              </w:trPr>
              <w:tc>
                <w:tcPr>
                  <w:tcW w:w="653"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w:t>
                  </w:r>
                </w:p>
              </w:tc>
              <w:tc>
                <w:tcPr>
                  <w:tcW w:w="861"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拟安排的项目负责人情况（仅限一人）</w:t>
                  </w:r>
                </w:p>
              </w:tc>
              <w:tc>
                <w:tcPr>
                  <w:tcW w:w="787"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12</w:t>
                  </w:r>
                </w:p>
              </w:tc>
              <w:tc>
                <w:tcPr>
                  <w:tcW w:w="5294"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（一）评分内容：</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拟安排的项目负责人(仅限1人）需为投标人正式聘任人员，否则本项不得分。在此基础上，按以下标准评分：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（1）项目负责人具有：建筑类专业高级（含副高）工程师职称证书或高级室内建筑师资格证书或高级室内设计师证书</w:t>
                  </w:r>
                  <w:r>
                    <w:rPr>
                      <w:rFonts w:hint="eastAsia" w:cs="Times New Roman"/>
                      <w:color w:val="auto"/>
                      <w:kern w:val="2"/>
                      <w:sz w:val="21"/>
                      <w:szCs w:val="21"/>
                      <w:highlight w:val="none"/>
                      <w:lang w:val="en-US" w:eastAsia="zh-CN" w:bidi="ar-SA"/>
                    </w:rPr>
                    <w:t>或注册建筑师</w:t>
                  </w:r>
                  <w:r>
                    <w:rPr>
                      <w:rFonts w:hint="eastAsia" w:ascii="Times New Roman" w:hAnsi="Times New Roman" w:eastAsia="宋体" w:cs="Times New Roman"/>
                      <w:color w:val="auto"/>
                      <w:kern w:val="2"/>
                      <w:sz w:val="21"/>
                      <w:szCs w:val="21"/>
                      <w:highlight w:val="none"/>
                      <w:lang w:val="en-US" w:eastAsia="zh-CN" w:bidi="ar-SA"/>
                    </w:rPr>
                    <w:t>，得6分，否则不得分；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（2）具有工程设计相关从业经验10年或以上的，得6分，5-10年（不含10年）的得4分，5年以下的得2分，无工程设计相关从业经验的不得分。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（二）评分依据：</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提供项目负责人通过投标单位缴纳的载有社保部门或税务部门公章的近三个月内任意一个月的个人社保证明，如供应商为新成立单位且成立时间不足一个月的，可提供加盖公章的情况说明，亦视为符合。如为退休返聘人员则提供劳动合同或返聘协议；</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2.提供职称证书</w:t>
                  </w:r>
                  <w:r>
                    <w:rPr>
                      <w:rFonts w:hint="eastAsia" w:cs="Times New Roman"/>
                      <w:color w:val="auto"/>
                      <w:kern w:val="2"/>
                      <w:sz w:val="21"/>
                      <w:szCs w:val="21"/>
                      <w:highlight w:val="none"/>
                      <w:lang w:val="en-US" w:eastAsia="zh-CN" w:bidi="ar-SA"/>
                    </w:rPr>
                    <w:t>或</w:t>
                  </w:r>
                  <w:r>
                    <w:rPr>
                      <w:rFonts w:hint="eastAsia" w:ascii="Times New Roman" w:hAnsi="Times New Roman" w:eastAsia="宋体" w:cs="Times New Roman"/>
                      <w:color w:val="auto"/>
                      <w:kern w:val="2"/>
                      <w:sz w:val="21"/>
                      <w:szCs w:val="21"/>
                      <w:highlight w:val="none"/>
                      <w:lang w:val="en-US" w:eastAsia="zh-CN" w:bidi="ar-SA"/>
                    </w:rPr>
                    <w:t>资格证书，项目负责人的工作年限，以高级室内建筑师资格证书或高级室内设计师证书的发证时间推算为准。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3.以上证明文件均提供复印件或扫描件加盖投标人公章，原件备查。未按要求提供有效证明材料或提供不清晰导致评委无法识别的不计得分。</w:t>
                  </w:r>
                </w:p>
              </w:tc>
              <w:tc>
                <w:tcPr>
                  <w:tcW w:w="1866" w:type="dxa"/>
                  <w:noWrap w:val="0"/>
                  <w:vAlign w:val="center"/>
                </w:tcPr>
                <w:p>
                  <w:pPr>
                    <w:widowControl/>
                    <w:snapToGrid w:val="0"/>
                    <w:spacing w:line="360" w:lineRule="exact"/>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4" w:hRule="atLeast"/>
              </w:trPr>
              <w:tc>
                <w:tcPr>
                  <w:tcW w:w="653"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w:t>
                  </w:r>
                </w:p>
              </w:tc>
              <w:tc>
                <w:tcPr>
                  <w:tcW w:w="861"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拟安排的项目主要团队成员（主要技术人员）情况（项目负责人除外）</w:t>
                  </w:r>
                </w:p>
              </w:tc>
              <w:tc>
                <w:tcPr>
                  <w:tcW w:w="787"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w:t>
                  </w:r>
                </w:p>
              </w:tc>
              <w:tc>
                <w:tcPr>
                  <w:tcW w:w="5294"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（一）评分内容：</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拟安排的项目团队成员（项目负责人除外）需为投标人正式聘任员工且不少于2人，否则本项不得分。在此基础上，按以下标准评分：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项目团队成员中具有建筑类专业中级或以上职称的，每提供一人得</w:t>
                  </w:r>
                  <w:r>
                    <w:rPr>
                      <w:rFonts w:hint="eastAsia" w:cs="Times New Roman"/>
                      <w:color w:val="auto"/>
                      <w:kern w:val="2"/>
                      <w:sz w:val="21"/>
                      <w:szCs w:val="21"/>
                      <w:highlight w:val="none"/>
                      <w:lang w:val="en-US" w:eastAsia="zh-CN" w:bidi="ar-SA"/>
                    </w:rPr>
                    <w:t>4</w:t>
                  </w:r>
                  <w:r>
                    <w:rPr>
                      <w:rFonts w:hint="eastAsia" w:ascii="Times New Roman" w:hAnsi="Times New Roman" w:eastAsia="宋体" w:cs="Times New Roman"/>
                      <w:color w:val="auto"/>
                      <w:kern w:val="2"/>
                      <w:sz w:val="21"/>
                      <w:szCs w:val="21"/>
                      <w:highlight w:val="none"/>
                      <w:lang w:val="en-US" w:eastAsia="zh-CN" w:bidi="ar-SA"/>
                    </w:rPr>
                    <w:t>分，最高8分。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（二）评分依据：</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 提供项目团队成员通过投标单位缴纳的载有社保部门公章的近三个月内任意一个月的个人社保证明，如供应商为新成立单位且成立时间不足一个月的，可提供加盖公章的情况说明，亦视为符合。如为退休返聘人员则提供劳动合同或返聘协议；</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2.提供上述职称证书；</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3.以上证明文件均提供复印件或扫描件加盖投标人公章，原件备查。未按要求提供有效证明材料或提供不清晰导致评委无法识别的不计得分。</w:t>
                  </w:r>
                </w:p>
              </w:tc>
              <w:tc>
                <w:tcPr>
                  <w:tcW w:w="1866" w:type="dxa"/>
                  <w:noWrap w:val="0"/>
                  <w:vAlign w:val="center"/>
                </w:tcPr>
                <w:p>
                  <w:pPr>
                    <w:widowControl/>
                    <w:snapToGrid w:val="0"/>
                    <w:spacing w:line="360" w:lineRule="exact"/>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3" w:hRule="atLeast"/>
              </w:trPr>
              <w:tc>
                <w:tcPr>
                  <w:tcW w:w="653"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w:t>
                  </w:r>
                </w:p>
              </w:tc>
              <w:tc>
                <w:tcPr>
                  <w:tcW w:w="861"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项目完成（服务期满）后的服务承诺</w:t>
                  </w:r>
                </w:p>
              </w:tc>
              <w:tc>
                <w:tcPr>
                  <w:tcW w:w="787"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w:t>
                  </w:r>
                </w:p>
              </w:tc>
              <w:tc>
                <w:tcPr>
                  <w:tcW w:w="5294"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（一）评分内容：</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投标人提供服务期满后的服务承诺，满足以下全部内容和要求的得7分，否则不得分。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（1）项目验收中发现的质量问题改进措施和承诺；</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（2）服务期满后主动离岗；</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（3）服务期满后的资料交接措施和承诺； </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（4）工作总结汇报承诺。</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（二）评分依据：</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提供《项目完成（服务期满）后的服务承诺函》（格式自定）作为得分依据，未提供承诺或承诺内容不满足要求不得分。</w:t>
                  </w:r>
                </w:p>
              </w:tc>
              <w:tc>
                <w:tcPr>
                  <w:tcW w:w="1866" w:type="dxa"/>
                  <w:noWrap w:val="0"/>
                  <w:vAlign w:val="center"/>
                </w:tcPr>
                <w:p>
                  <w:pPr>
                    <w:autoSpaceDE w:val="0"/>
                    <w:autoSpaceDN w:val="0"/>
                    <w:adjustRightInd w:val="0"/>
                    <w:spacing w:line="360" w:lineRule="exact"/>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trPr>
              <w:tc>
                <w:tcPr>
                  <w:tcW w:w="653"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w:t>
                  </w:r>
                </w:p>
              </w:tc>
              <w:tc>
                <w:tcPr>
                  <w:tcW w:w="861"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违约承诺</w:t>
                  </w:r>
                </w:p>
              </w:tc>
              <w:tc>
                <w:tcPr>
                  <w:tcW w:w="787"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w:t>
                  </w:r>
                </w:p>
              </w:tc>
              <w:tc>
                <w:tcPr>
                  <w:tcW w:w="5294"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（一）评分内容：</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投标人提供项目违约承诺，满足以下全部要求的得5分，否则不得分。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（1）人员严格按照招标文件及投标承诺配置； </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（2）服务质量达到招标文件要求； </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（3）对未能达到的管理要求承担管理责任。</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（二）评分依据：</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提供《违约承诺函》（格式自定）作为得分依据，未提供承诺或承诺内容不满足要求不得分。</w:t>
                  </w:r>
                </w:p>
              </w:tc>
              <w:tc>
                <w:tcPr>
                  <w:tcW w:w="1866" w:type="dxa"/>
                  <w:noWrap w:val="0"/>
                  <w:vAlign w:val="center"/>
                </w:tcPr>
                <w:p>
                  <w:pPr>
                    <w:autoSpaceDE w:val="0"/>
                    <w:autoSpaceDN w:val="0"/>
                    <w:adjustRightInd w:val="0"/>
                    <w:spacing w:line="360" w:lineRule="exact"/>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653"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三</w:t>
                  </w:r>
                </w:p>
              </w:tc>
              <w:tc>
                <w:tcPr>
                  <w:tcW w:w="861"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商务部分</w:t>
                  </w:r>
                </w:p>
              </w:tc>
              <w:tc>
                <w:tcPr>
                  <w:tcW w:w="787"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23</w:t>
                  </w:r>
                </w:p>
              </w:tc>
              <w:tc>
                <w:tcPr>
                  <w:tcW w:w="5294"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p>
              </w:tc>
              <w:tc>
                <w:tcPr>
                  <w:tcW w:w="1866" w:type="dxa"/>
                  <w:noWrap w:val="0"/>
                  <w:vAlign w:val="center"/>
                </w:tcPr>
                <w:p>
                  <w:pPr>
                    <w:autoSpaceDE w:val="0"/>
                    <w:autoSpaceDN w:val="0"/>
                    <w:adjustRightInd w:val="0"/>
                    <w:spacing w:line="360" w:lineRule="exact"/>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53" w:type="dxa"/>
                  <w:noWrap w:val="0"/>
                  <w:vAlign w:val="center"/>
                </w:tcPr>
                <w:p>
                  <w:pPr>
                    <w:jc w:val="left"/>
                    <w:rPr>
                      <w:rFonts w:hint="eastAsia"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861"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同类项目业绩情况</w:t>
                  </w:r>
                </w:p>
              </w:tc>
              <w:tc>
                <w:tcPr>
                  <w:tcW w:w="787"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5294"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（一）评分内容：</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2019年 01 月 01 日至本项目投标截止日（以合同签订日期为准)，投标人具有</w:t>
                  </w:r>
                  <w:r>
                    <w:rPr>
                      <w:rFonts w:hint="eastAsia" w:cs="Times New Roman"/>
                      <w:color w:val="auto"/>
                      <w:kern w:val="2"/>
                      <w:sz w:val="21"/>
                      <w:szCs w:val="21"/>
                      <w:highlight w:val="none"/>
                      <w:lang w:val="en-US" w:eastAsia="zh-CN" w:bidi="ar-SA"/>
                    </w:rPr>
                    <w:t>建筑工程设计类似</w:t>
                  </w:r>
                  <w:r>
                    <w:rPr>
                      <w:rFonts w:hint="eastAsia" w:ascii="Times New Roman" w:hAnsi="Times New Roman" w:eastAsia="宋体" w:cs="Times New Roman"/>
                      <w:color w:val="auto"/>
                      <w:kern w:val="2"/>
                      <w:sz w:val="21"/>
                      <w:szCs w:val="21"/>
                      <w:highlight w:val="none"/>
                      <w:lang w:val="en-US" w:eastAsia="zh-CN" w:bidi="ar-SA"/>
                    </w:rPr>
                    <w:t>业绩的</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每提供一个项目得</w:t>
                  </w:r>
                  <w:r>
                    <w:rPr>
                      <w:rFonts w:hint="eastAsia" w:cs="Times New Roman"/>
                      <w:color w:val="auto"/>
                      <w:kern w:val="2"/>
                      <w:sz w:val="21"/>
                      <w:szCs w:val="21"/>
                      <w:highlight w:val="none"/>
                      <w:lang w:val="en-US" w:eastAsia="zh-CN" w:bidi="ar-SA"/>
                    </w:rPr>
                    <w:t>5</w:t>
                  </w:r>
                  <w:r>
                    <w:rPr>
                      <w:rFonts w:hint="eastAsia" w:ascii="Times New Roman" w:hAnsi="Times New Roman" w:eastAsia="宋体" w:cs="Times New Roman"/>
                      <w:color w:val="auto"/>
                      <w:kern w:val="2"/>
                      <w:sz w:val="21"/>
                      <w:szCs w:val="21"/>
                      <w:highlight w:val="none"/>
                      <w:lang w:val="en-US" w:eastAsia="zh-CN" w:bidi="ar-SA"/>
                    </w:rPr>
                    <w:t>分，最高得15分。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（二）评分依据：</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 同时提供合同关键信息（合同关键页包含但不限于：合同首页、签订合同双方的单位名称、合同项目名称、服务内容、签订合同双方的落款盖章、签订日期的关键页）；</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 通过合同关键信息无法判断是否得分的，还需提供能证明得分的其它证明资料，如项目报告或合同甲方出具的证明文件；</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3.提供以上证明文件复印件或扫描件。未按要求提供有效证明材料或提供不清晰导致评委无法识别的不计得分。</w:t>
                  </w:r>
                </w:p>
              </w:tc>
              <w:tc>
                <w:tcPr>
                  <w:tcW w:w="1866" w:type="dxa"/>
                  <w:noWrap w:val="0"/>
                  <w:vAlign w:val="center"/>
                </w:tcPr>
                <w:p>
                  <w:pPr>
                    <w:spacing w:line="360" w:lineRule="exact"/>
                    <w:rPr>
                      <w:rFonts w:ascii="仿宋" w:hAnsi="仿宋" w:eastAsia="仿宋" w:cs="仿宋"/>
                      <w:color w:val="auto"/>
                      <w:sz w:val="24"/>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8" w:hRule="atLeast"/>
              </w:trPr>
              <w:tc>
                <w:tcPr>
                  <w:tcW w:w="653"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w:t>
                  </w:r>
                </w:p>
              </w:tc>
              <w:tc>
                <w:tcPr>
                  <w:tcW w:w="861"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体系认证</w:t>
                  </w:r>
                </w:p>
              </w:tc>
              <w:tc>
                <w:tcPr>
                  <w:tcW w:w="787"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w:t>
                  </w:r>
                </w:p>
              </w:tc>
              <w:tc>
                <w:tcPr>
                  <w:tcW w:w="5294"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评分内容：</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1.投标人具有在有效期内的证书：质量管理体系认证、职业健康安全体系认证、环境管理体系认证证书，以上证书每提供一项得2分，最高得8分。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评分依据：</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投标人提供以上有效期内的认证证书复印件，未提供或提供不清晰导致无法判断的不得分。</w:t>
                  </w:r>
                </w:p>
              </w:tc>
              <w:tc>
                <w:tcPr>
                  <w:tcW w:w="1866" w:type="dxa"/>
                  <w:noWrap w:val="0"/>
                  <w:vAlign w:val="center"/>
                </w:tcPr>
                <w:p>
                  <w:pPr>
                    <w:spacing w:line="360" w:lineRule="exact"/>
                    <w:jc w:val="center"/>
                    <w:rPr>
                      <w:rFonts w:ascii="仿宋" w:hAnsi="仿宋" w:eastAsia="仿宋" w:cs="仿宋"/>
                      <w:color w:val="auto"/>
                      <w:sz w:val="24"/>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653"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四</w:t>
                  </w:r>
                </w:p>
              </w:tc>
              <w:tc>
                <w:tcPr>
                  <w:tcW w:w="861"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诚信部分</w:t>
                  </w:r>
                </w:p>
              </w:tc>
              <w:tc>
                <w:tcPr>
                  <w:tcW w:w="787"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w:t>
                  </w:r>
                </w:p>
              </w:tc>
              <w:tc>
                <w:tcPr>
                  <w:tcW w:w="5294"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p>
              </w:tc>
              <w:tc>
                <w:tcPr>
                  <w:tcW w:w="1866" w:type="dxa"/>
                  <w:noWrap w:val="0"/>
                  <w:vAlign w:val="center"/>
                </w:tcPr>
                <w:p>
                  <w:pPr>
                    <w:widowControl/>
                    <w:snapToGrid w:val="0"/>
                    <w:spacing w:line="360" w:lineRule="exact"/>
                    <w:jc w:val="center"/>
                    <w:rPr>
                      <w:rFonts w:ascii="仿宋" w:hAnsi="仿宋" w:eastAsia="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653"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861"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诚信评价</w:t>
                  </w:r>
                </w:p>
              </w:tc>
              <w:tc>
                <w:tcPr>
                  <w:tcW w:w="787"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w:t>
                  </w:r>
                </w:p>
              </w:tc>
              <w:tc>
                <w:tcPr>
                  <w:tcW w:w="5294" w:type="dxa"/>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（采购代理机构通过“信用中国”、“中国政府采购网”、“深圳市政府采购监管网”以及市、区财政部门认定的其他渠道查询供应商信用信息，投标人无需提供证明材料。）</w:t>
                  </w:r>
                </w:p>
              </w:tc>
              <w:tc>
                <w:tcPr>
                  <w:tcW w:w="1866" w:type="dxa"/>
                  <w:noWrap w:val="0"/>
                  <w:vAlign w:val="center"/>
                </w:tcPr>
                <w:p>
                  <w:pPr>
                    <w:widowControl/>
                    <w:snapToGrid w:val="0"/>
                    <w:spacing w:line="360" w:lineRule="exact"/>
                    <w:jc w:val="center"/>
                    <w:rPr>
                      <w:rFonts w:ascii="仿宋" w:hAnsi="仿宋" w:eastAsia="仿宋"/>
                      <w:color w:val="auto"/>
                      <w:kern w:val="0"/>
                      <w:sz w:val="24"/>
                      <w:highlight w:val="none"/>
                    </w:rPr>
                  </w:pPr>
                </w:p>
              </w:tc>
            </w:tr>
          </w:tbl>
          <w:p>
            <w:pPr>
              <w:pStyle w:val="15"/>
              <w:widowControl/>
              <w:spacing w:line="324" w:lineRule="auto"/>
              <w:ind w:left="420"/>
              <w:rPr>
                <w:sz w:val="21"/>
                <w:szCs w:val="21"/>
              </w:rPr>
            </w:pPr>
          </w:p>
          <w:p>
            <w:pPr>
              <w:pStyle w:val="15"/>
              <w:widowControl/>
              <w:spacing w:line="324" w:lineRule="auto"/>
              <w:ind w:left="420"/>
              <w:rPr>
                <w:sz w:val="21"/>
                <w:szCs w:val="21"/>
              </w:rPr>
            </w:pPr>
          </w:p>
          <w:p>
            <w:pPr>
              <w:pStyle w:val="15"/>
              <w:widowControl/>
              <w:spacing w:line="324" w:lineRule="auto"/>
              <w:ind w:left="420"/>
              <w:rPr>
                <w:sz w:val="21"/>
                <w:szCs w:val="21"/>
              </w:rPr>
            </w:pPr>
          </w:p>
          <w:p>
            <w:pPr>
              <w:pStyle w:val="15"/>
              <w:widowControl/>
              <w:spacing w:line="324" w:lineRule="auto"/>
              <w:ind w:left="420"/>
              <w:rPr>
                <w:sz w:val="21"/>
                <w:szCs w:val="21"/>
              </w:rPr>
            </w:pPr>
          </w:p>
          <w:p>
            <w:pPr>
              <w:pStyle w:val="15"/>
              <w:widowControl/>
              <w:spacing w:line="324" w:lineRule="auto"/>
              <w:ind w:left="420"/>
              <w:rPr>
                <w:sz w:val="21"/>
                <w:szCs w:val="21"/>
              </w:rPr>
            </w:pPr>
          </w:p>
        </w:tc>
      </w:tr>
    </w:tbl>
    <w:p>
      <w:pPr>
        <w:pStyle w:val="3"/>
        <w:jc w:val="both"/>
      </w:pPr>
      <w:r>
        <w:br w:type="page"/>
      </w:r>
    </w:p>
    <w:p>
      <w:pPr>
        <w:pStyle w:val="3"/>
      </w:pPr>
      <w:r>
        <w:rPr>
          <w:rFonts w:hint="eastAsia"/>
        </w:rPr>
        <w:t>第二章  项目需求</w:t>
      </w:r>
    </w:p>
    <w:p>
      <w:pPr>
        <w:ind w:firstLine="480" w:firstLineChars="200"/>
        <w:rPr>
          <w:rFonts w:ascii="宋体" w:hAnsi="宋体"/>
          <w:sz w:val="24"/>
        </w:rPr>
      </w:pPr>
      <w:r>
        <w:rPr>
          <w:rFonts w:hint="eastAsia" w:ascii="宋体" w:hAnsi="宋体"/>
          <w:sz w:val="24"/>
          <w:lang w:val="en-US" w:eastAsia="zh-CN"/>
        </w:rPr>
        <w:t>校本部</w:t>
      </w:r>
      <w:r>
        <w:rPr>
          <w:rFonts w:hint="eastAsia" w:ascii="宋体" w:hAnsi="宋体"/>
          <w:sz w:val="24"/>
        </w:rPr>
        <w:t>宿舍加固设计项目，此次招标内容包含工程设计。本项目预算金额为</w:t>
      </w:r>
      <w:r>
        <w:rPr>
          <w:rFonts w:ascii="宋体" w:hAnsi="宋体"/>
          <w:sz w:val="24"/>
        </w:rPr>
        <w:t>8.8</w:t>
      </w:r>
      <w:r>
        <w:rPr>
          <w:rFonts w:hint="eastAsia" w:ascii="宋体" w:hAnsi="宋体"/>
          <w:sz w:val="24"/>
        </w:rPr>
        <w:t>万元。</w:t>
      </w:r>
    </w:p>
    <w:p>
      <w:pPr>
        <w:ind w:firstLine="480" w:firstLineChars="200"/>
        <w:rPr>
          <w:rFonts w:ascii="宋体" w:hAnsi="宋体"/>
          <w:sz w:val="24"/>
        </w:rPr>
      </w:pPr>
    </w:p>
    <w:p>
      <w:pPr>
        <w:pStyle w:val="4"/>
        <w:numPr>
          <w:ilvl w:val="0"/>
          <w:numId w:val="1"/>
        </w:numPr>
        <w:adjustRightInd/>
        <w:spacing w:before="0" w:after="0"/>
        <w:ind w:left="0" w:firstLine="482" w:firstLineChars="200"/>
        <w:jc w:val="both"/>
        <w:textAlignment w:val="auto"/>
        <w:rPr>
          <w:sz w:val="24"/>
          <w:szCs w:val="24"/>
        </w:rPr>
      </w:pPr>
      <w:r>
        <w:rPr>
          <w:rFonts w:hint="eastAsia"/>
          <w:sz w:val="24"/>
          <w:szCs w:val="24"/>
        </w:rPr>
        <w:t>项目名称</w:t>
      </w:r>
    </w:p>
    <w:p>
      <w:pPr>
        <w:ind w:firstLine="480" w:firstLineChars="200"/>
        <w:rPr>
          <w:rFonts w:ascii="宋体" w:hAnsi="宋体"/>
          <w:sz w:val="24"/>
        </w:rPr>
      </w:pPr>
      <w:r>
        <w:rPr>
          <w:rFonts w:hint="eastAsia" w:ascii="宋体" w:hAnsi="宋体"/>
          <w:sz w:val="24"/>
        </w:rPr>
        <w:t>宿舍加固设计</w:t>
      </w:r>
    </w:p>
    <w:p>
      <w:pPr>
        <w:pStyle w:val="4"/>
        <w:numPr>
          <w:ilvl w:val="0"/>
          <w:numId w:val="1"/>
        </w:numPr>
        <w:adjustRightInd/>
        <w:spacing w:before="0" w:after="0"/>
        <w:ind w:left="0" w:firstLine="482" w:firstLineChars="200"/>
        <w:jc w:val="both"/>
        <w:textAlignment w:val="auto"/>
        <w:rPr>
          <w:sz w:val="24"/>
          <w:szCs w:val="24"/>
        </w:rPr>
      </w:pPr>
      <w:r>
        <w:rPr>
          <w:rFonts w:hint="eastAsia"/>
          <w:sz w:val="24"/>
          <w:szCs w:val="24"/>
        </w:rPr>
        <w:t>项目地址</w:t>
      </w:r>
    </w:p>
    <w:p>
      <w:pPr>
        <w:ind w:firstLine="480" w:firstLineChars="200"/>
        <w:rPr>
          <w:rFonts w:ascii="宋体" w:hAnsi="宋体"/>
          <w:sz w:val="24"/>
        </w:rPr>
      </w:pPr>
      <w:r>
        <w:rPr>
          <w:rFonts w:ascii="宋体" w:hAnsi="宋体"/>
          <w:sz w:val="24"/>
        </w:rPr>
        <w:t>福田区福中路13号</w:t>
      </w:r>
    </w:p>
    <w:p>
      <w:pPr>
        <w:pStyle w:val="4"/>
        <w:numPr>
          <w:ilvl w:val="0"/>
          <w:numId w:val="1"/>
        </w:numPr>
        <w:adjustRightInd/>
        <w:spacing w:before="0" w:after="0"/>
        <w:ind w:left="0" w:firstLine="482" w:firstLineChars="200"/>
        <w:jc w:val="both"/>
        <w:textAlignment w:val="auto"/>
        <w:rPr>
          <w:sz w:val="24"/>
          <w:szCs w:val="24"/>
        </w:rPr>
      </w:pPr>
      <w:r>
        <w:rPr>
          <w:rFonts w:hint="eastAsia"/>
          <w:sz w:val="24"/>
          <w:szCs w:val="24"/>
        </w:rPr>
        <w:t>投标人资质要求</w:t>
      </w:r>
    </w:p>
    <w:p>
      <w:pPr>
        <w:pStyle w:val="33"/>
        <w:numPr>
          <w:ilvl w:val="0"/>
          <w:numId w:val="2"/>
        </w:numPr>
        <w:ind w:firstLineChars="0"/>
        <w:rPr>
          <w:rFonts w:ascii="宋体" w:hAnsi="宋体"/>
          <w:sz w:val="24"/>
        </w:rPr>
      </w:pPr>
      <w:r>
        <w:rPr>
          <w:rFonts w:hint="eastAsia" w:ascii="宋体" w:hAnsi="宋体"/>
          <w:sz w:val="24"/>
        </w:rPr>
        <w:t>投标人必须为</w:t>
      </w:r>
      <w:r>
        <w:rPr>
          <w:rFonts w:ascii="宋体" w:hAnsi="宋体"/>
          <w:sz w:val="24"/>
        </w:rPr>
        <w:t>中华人民共和国境内注册的法人或其他组织，符合《中华人民共和国政府采购法》第二十二条第一款规定的条件；</w:t>
      </w:r>
    </w:p>
    <w:p>
      <w:pPr>
        <w:pStyle w:val="33"/>
        <w:numPr>
          <w:ilvl w:val="0"/>
          <w:numId w:val="2"/>
        </w:numPr>
        <w:ind w:firstLineChars="0"/>
        <w:rPr>
          <w:rFonts w:ascii="宋体" w:hAnsi="宋体"/>
          <w:sz w:val="24"/>
        </w:rPr>
      </w:pPr>
      <w:r>
        <w:rPr>
          <w:rFonts w:hint="eastAsia" w:ascii="宋体" w:hAnsi="宋体"/>
          <w:sz w:val="24"/>
        </w:rPr>
        <w:t>近三年内（即至少从</w:t>
      </w:r>
      <w:r>
        <w:rPr>
          <w:rFonts w:ascii="宋体" w:hAnsi="宋体"/>
          <w:sz w:val="24"/>
        </w:rPr>
        <w:t>2021</w:t>
      </w:r>
      <w:r>
        <w:rPr>
          <w:rFonts w:hint="eastAsia" w:ascii="宋体" w:hAnsi="宋体"/>
          <w:sz w:val="24"/>
        </w:rPr>
        <w:t>年</w:t>
      </w:r>
      <w:r>
        <w:rPr>
          <w:rFonts w:ascii="宋体" w:hAnsi="宋体"/>
          <w:sz w:val="24"/>
        </w:rPr>
        <w:t>6</w:t>
      </w:r>
      <w:r>
        <w:rPr>
          <w:rFonts w:hint="eastAsia" w:ascii="宋体" w:hAnsi="宋体"/>
          <w:sz w:val="24"/>
        </w:rPr>
        <w:t>月开始起算，供应商成立不足三年的可从成立之日起算）有行贿犯罪记录的供应商不得参与本项目投标（由投标人在投标文件中提供“无行贿犯罪纪录承诺函”）；</w:t>
      </w:r>
    </w:p>
    <w:p>
      <w:pPr>
        <w:pStyle w:val="33"/>
        <w:numPr>
          <w:ilvl w:val="0"/>
          <w:numId w:val="2"/>
        </w:numPr>
        <w:ind w:firstLineChars="0"/>
        <w:rPr>
          <w:rFonts w:ascii="宋体" w:hAnsi="宋体"/>
          <w:sz w:val="24"/>
        </w:rPr>
      </w:pPr>
      <w:r>
        <w:rPr>
          <w:rFonts w:hint="eastAsia" w:ascii="宋体" w:hAnsi="宋体"/>
          <w:sz w:val="24"/>
        </w:rPr>
        <w:t>投标截止时间前，投标人未被列入失信被执行人、重大税收违法案件当事人名单、政府采购严重违法失信行为记录名单（由投标人在投标文件中提供“诚信投标承诺书”）；未被记入</w:t>
      </w:r>
      <w:bookmarkStart w:id="0" w:name="_GoBack"/>
      <w:bookmarkEnd w:id="0"/>
      <w:r>
        <w:rPr>
          <w:rFonts w:hint="eastAsia" w:ascii="宋体" w:hAnsi="宋体"/>
          <w:sz w:val="24"/>
        </w:rPr>
        <w:t>深圳市第一职业技术学校诚信档案（投标人无须提供证明材料，以采购人提供的诚信信息为准）；</w:t>
      </w:r>
    </w:p>
    <w:p>
      <w:pPr>
        <w:pStyle w:val="33"/>
        <w:numPr>
          <w:ilvl w:val="0"/>
          <w:numId w:val="2"/>
        </w:numPr>
        <w:ind w:firstLineChars="0"/>
        <w:rPr>
          <w:rFonts w:ascii="宋体" w:hAnsi="宋体"/>
          <w:sz w:val="24"/>
        </w:rPr>
      </w:pPr>
      <w:r>
        <w:rPr>
          <w:rFonts w:hint="eastAsia" w:ascii="宋体" w:hAnsi="宋体"/>
          <w:sz w:val="24"/>
        </w:rPr>
        <w:t>本项目不接受投标人选用进口产品参与投标。（本项目接受投标人选用进口产品参与投标。若允许采购进口产品，则必须进行进口产品论证，并附：《高等院校、科研机构政府采购进口产品专家论证意见表》）；</w:t>
      </w:r>
    </w:p>
    <w:p>
      <w:pPr>
        <w:pStyle w:val="33"/>
        <w:numPr>
          <w:ilvl w:val="0"/>
          <w:numId w:val="2"/>
        </w:numPr>
        <w:ind w:firstLineChars="0"/>
      </w:pPr>
      <w:r>
        <w:rPr>
          <w:rFonts w:hint="eastAsia" w:ascii="宋体" w:hAnsi="宋体"/>
          <w:sz w:val="24"/>
        </w:rPr>
        <w:t>本项目不接受联合体投标，不允许分包、转包。</w:t>
      </w:r>
    </w:p>
    <w:p>
      <w:pPr>
        <w:pStyle w:val="33"/>
        <w:numPr>
          <w:ilvl w:val="0"/>
          <w:numId w:val="2"/>
        </w:numPr>
        <w:ind w:firstLineChars="0"/>
        <w:rPr>
          <w:rFonts w:hint="default" w:ascii="宋体" w:hAnsi="宋体"/>
          <w:sz w:val="24"/>
          <w:lang w:val="en-US" w:eastAsia="zh-CN"/>
        </w:rPr>
      </w:pPr>
      <w:r>
        <w:rPr>
          <w:rFonts w:hint="eastAsia" w:ascii="宋体" w:hAnsi="宋体"/>
          <w:sz w:val="24"/>
          <w:lang w:val="en-US" w:eastAsia="zh-CN"/>
        </w:rPr>
        <w:t>本项目特定资质：具有工程设计资质证书（资质等级：建筑行业或建筑工程专业乙级及以上）</w:t>
      </w:r>
    </w:p>
    <w:p>
      <w:pPr>
        <w:pStyle w:val="33"/>
        <w:numPr>
          <w:ilvl w:val="0"/>
          <w:numId w:val="0"/>
        </w:numPr>
      </w:pPr>
    </w:p>
    <w:p>
      <w:pPr>
        <w:pStyle w:val="4"/>
        <w:numPr>
          <w:ilvl w:val="0"/>
          <w:numId w:val="1"/>
        </w:numPr>
        <w:adjustRightInd/>
        <w:spacing w:before="0" w:after="0"/>
        <w:ind w:left="0" w:firstLine="482" w:firstLineChars="200"/>
        <w:jc w:val="both"/>
        <w:textAlignment w:val="auto"/>
        <w:rPr>
          <w:sz w:val="24"/>
          <w:szCs w:val="24"/>
        </w:rPr>
      </w:pPr>
      <w:r>
        <w:rPr>
          <w:rFonts w:hint="eastAsia"/>
          <w:sz w:val="24"/>
          <w:szCs w:val="24"/>
        </w:rPr>
        <w:t>服务清单</w:t>
      </w:r>
    </w:p>
    <w:tbl>
      <w:tblPr>
        <w:tblStyle w:val="17"/>
        <w:tblW w:w="7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2949"/>
        <w:gridCol w:w="1134"/>
        <w:gridCol w:w="1134"/>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1" w:type="dxa"/>
            <w:vAlign w:val="center"/>
          </w:tcPr>
          <w:p>
            <w:pPr>
              <w:jc w:val="center"/>
              <w:rPr>
                <w:rFonts w:ascii="仿宋" w:hAnsi="仿宋" w:eastAsia="仿宋"/>
                <w:bCs/>
                <w:sz w:val="24"/>
              </w:rPr>
            </w:pPr>
            <w:r>
              <w:rPr>
                <w:rFonts w:hint="eastAsia" w:ascii="仿宋" w:hAnsi="仿宋" w:eastAsia="仿宋"/>
                <w:bCs/>
                <w:sz w:val="24"/>
              </w:rPr>
              <w:t>序号</w:t>
            </w:r>
          </w:p>
        </w:tc>
        <w:tc>
          <w:tcPr>
            <w:tcW w:w="2949" w:type="dxa"/>
            <w:vAlign w:val="center"/>
          </w:tcPr>
          <w:p>
            <w:pPr>
              <w:rPr>
                <w:rFonts w:ascii="仿宋" w:hAnsi="仿宋" w:eastAsia="仿宋"/>
                <w:bCs/>
                <w:sz w:val="24"/>
              </w:rPr>
            </w:pPr>
            <w:r>
              <w:rPr>
                <w:rFonts w:hint="eastAsia" w:ascii="仿宋" w:hAnsi="仿宋" w:eastAsia="仿宋"/>
                <w:bCs/>
                <w:sz w:val="24"/>
              </w:rPr>
              <w:t>服务名称</w:t>
            </w:r>
          </w:p>
        </w:tc>
        <w:tc>
          <w:tcPr>
            <w:tcW w:w="1134" w:type="dxa"/>
            <w:vAlign w:val="center"/>
          </w:tcPr>
          <w:p>
            <w:pPr>
              <w:rPr>
                <w:rFonts w:ascii="仿宋" w:hAnsi="仿宋" w:eastAsia="仿宋"/>
                <w:bCs/>
                <w:sz w:val="24"/>
              </w:rPr>
            </w:pPr>
            <w:r>
              <w:rPr>
                <w:rFonts w:hint="eastAsia" w:ascii="仿宋" w:hAnsi="仿宋" w:eastAsia="仿宋"/>
                <w:bCs/>
                <w:sz w:val="24"/>
              </w:rPr>
              <w:t>数量</w:t>
            </w:r>
          </w:p>
        </w:tc>
        <w:tc>
          <w:tcPr>
            <w:tcW w:w="1134" w:type="dxa"/>
            <w:vAlign w:val="center"/>
          </w:tcPr>
          <w:p>
            <w:pPr>
              <w:rPr>
                <w:rFonts w:ascii="仿宋" w:hAnsi="仿宋" w:eastAsia="仿宋"/>
                <w:bCs/>
                <w:sz w:val="24"/>
              </w:rPr>
            </w:pPr>
            <w:r>
              <w:rPr>
                <w:rFonts w:hint="eastAsia" w:ascii="仿宋" w:hAnsi="仿宋" w:eastAsia="仿宋"/>
                <w:bCs/>
                <w:sz w:val="24"/>
              </w:rPr>
              <w:t>单位</w:t>
            </w:r>
          </w:p>
        </w:tc>
        <w:tc>
          <w:tcPr>
            <w:tcW w:w="1171" w:type="dxa"/>
            <w:vAlign w:val="center"/>
          </w:tcPr>
          <w:p>
            <w:pPr>
              <w:rPr>
                <w:rFonts w:ascii="仿宋" w:hAnsi="仿宋" w:eastAsia="仿宋"/>
                <w:bCs/>
                <w:sz w:val="24"/>
              </w:rPr>
            </w:pPr>
            <w:r>
              <w:rPr>
                <w:rFonts w:hint="eastAsia" w:ascii="仿宋" w:hAnsi="仿宋" w:eastAsia="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1" w:type="dxa"/>
            <w:vAlign w:val="center"/>
          </w:tcPr>
          <w:p>
            <w:pPr>
              <w:jc w:val="center"/>
              <w:rPr>
                <w:rFonts w:ascii="仿宋" w:hAnsi="仿宋" w:eastAsia="仿宋"/>
                <w:bCs/>
                <w:sz w:val="24"/>
              </w:rPr>
            </w:pPr>
            <w:r>
              <w:rPr>
                <w:rFonts w:hint="eastAsia" w:ascii="仿宋" w:hAnsi="仿宋" w:eastAsia="仿宋"/>
                <w:bCs/>
                <w:sz w:val="24"/>
              </w:rPr>
              <w:t>1</w:t>
            </w:r>
          </w:p>
        </w:tc>
        <w:tc>
          <w:tcPr>
            <w:tcW w:w="2949" w:type="dxa"/>
            <w:vAlign w:val="center"/>
          </w:tcPr>
          <w:p>
            <w:pPr>
              <w:rPr>
                <w:rFonts w:ascii="仿宋" w:hAnsi="仿宋" w:eastAsia="仿宋"/>
                <w:bCs/>
                <w:sz w:val="24"/>
              </w:rPr>
            </w:pPr>
            <w:r>
              <w:rPr>
                <w:rFonts w:hint="eastAsia" w:ascii="仿宋" w:hAnsi="仿宋" w:eastAsia="仿宋"/>
                <w:bCs/>
                <w:sz w:val="24"/>
              </w:rPr>
              <w:t>西宿舍楼加固设计</w:t>
            </w:r>
          </w:p>
        </w:tc>
        <w:tc>
          <w:tcPr>
            <w:tcW w:w="1134" w:type="dxa"/>
            <w:vAlign w:val="center"/>
          </w:tcPr>
          <w:p>
            <w:pPr>
              <w:rPr>
                <w:rFonts w:ascii="仿宋" w:hAnsi="仿宋" w:eastAsia="仿宋"/>
                <w:bCs/>
                <w:sz w:val="24"/>
              </w:rPr>
            </w:pPr>
            <w:r>
              <w:rPr>
                <w:rFonts w:hint="eastAsia" w:ascii="仿宋" w:hAnsi="仿宋" w:eastAsia="仿宋"/>
                <w:bCs/>
                <w:sz w:val="24"/>
              </w:rPr>
              <w:t>1</w:t>
            </w:r>
          </w:p>
        </w:tc>
        <w:tc>
          <w:tcPr>
            <w:tcW w:w="1134" w:type="dxa"/>
            <w:vAlign w:val="center"/>
          </w:tcPr>
          <w:p>
            <w:pPr>
              <w:rPr>
                <w:rFonts w:ascii="仿宋" w:hAnsi="仿宋" w:eastAsia="仿宋"/>
                <w:bCs/>
                <w:sz w:val="24"/>
              </w:rPr>
            </w:pPr>
            <w:r>
              <w:rPr>
                <w:rFonts w:hint="eastAsia" w:ascii="仿宋" w:hAnsi="仿宋" w:eastAsia="仿宋"/>
                <w:bCs/>
                <w:sz w:val="24"/>
              </w:rPr>
              <w:t>项</w:t>
            </w:r>
          </w:p>
        </w:tc>
        <w:tc>
          <w:tcPr>
            <w:tcW w:w="1171" w:type="dxa"/>
            <w:vAlign w:val="center"/>
          </w:tcPr>
          <w:p>
            <w:pPr>
              <w:rPr>
                <w:rFonts w:ascii="仿宋" w:hAnsi="仿宋" w:eastAsia="仿宋"/>
                <w:bCs/>
                <w:sz w:val="24"/>
              </w:rPr>
            </w:pPr>
            <w:r>
              <w:rPr>
                <w:rFonts w:hint="eastAsia" w:ascii="仿宋" w:hAnsi="仿宋" w:eastAsia="仿宋"/>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jc w:val="center"/>
              <w:rPr>
                <w:rFonts w:ascii="仿宋" w:hAnsi="仿宋" w:eastAsia="仿宋"/>
                <w:bCs/>
                <w:sz w:val="24"/>
              </w:rPr>
            </w:pPr>
            <w:r>
              <w:rPr>
                <w:rFonts w:hint="eastAsia" w:ascii="仿宋" w:hAnsi="仿宋" w:eastAsia="仿宋"/>
                <w:bCs/>
                <w:sz w:val="24"/>
              </w:rPr>
              <w:t>2</w:t>
            </w:r>
          </w:p>
        </w:tc>
        <w:tc>
          <w:tcPr>
            <w:tcW w:w="2949" w:type="dxa"/>
            <w:vAlign w:val="center"/>
          </w:tcPr>
          <w:p>
            <w:pPr>
              <w:rPr>
                <w:rFonts w:ascii="仿宋" w:hAnsi="仿宋" w:eastAsia="仿宋"/>
                <w:bCs/>
                <w:sz w:val="24"/>
              </w:rPr>
            </w:pPr>
            <w:r>
              <w:rPr>
                <w:rFonts w:hint="eastAsia" w:ascii="仿宋" w:hAnsi="仿宋" w:eastAsia="仿宋"/>
                <w:bCs/>
                <w:sz w:val="24"/>
              </w:rPr>
              <w:t>东宿舍楼加固设计</w:t>
            </w:r>
          </w:p>
        </w:tc>
        <w:tc>
          <w:tcPr>
            <w:tcW w:w="1134" w:type="dxa"/>
            <w:vAlign w:val="center"/>
          </w:tcPr>
          <w:p>
            <w:pPr>
              <w:rPr>
                <w:rFonts w:ascii="仿宋" w:hAnsi="仿宋" w:eastAsia="仿宋"/>
                <w:bCs/>
                <w:sz w:val="24"/>
              </w:rPr>
            </w:pPr>
            <w:r>
              <w:rPr>
                <w:rFonts w:hint="eastAsia" w:ascii="仿宋" w:hAnsi="仿宋" w:eastAsia="仿宋"/>
                <w:bCs/>
                <w:sz w:val="24"/>
              </w:rPr>
              <w:t>1</w:t>
            </w:r>
          </w:p>
        </w:tc>
        <w:tc>
          <w:tcPr>
            <w:tcW w:w="1134" w:type="dxa"/>
            <w:vAlign w:val="center"/>
          </w:tcPr>
          <w:p>
            <w:pPr>
              <w:rPr>
                <w:rFonts w:ascii="仿宋" w:hAnsi="仿宋" w:eastAsia="仿宋"/>
                <w:bCs/>
                <w:sz w:val="24"/>
              </w:rPr>
            </w:pPr>
            <w:r>
              <w:rPr>
                <w:rFonts w:hint="eastAsia" w:ascii="仿宋" w:hAnsi="仿宋" w:eastAsia="仿宋"/>
                <w:bCs/>
                <w:sz w:val="24"/>
              </w:rPr>
              <w:t>项</w:t>
            </w:r>
          </w:p>
        </w:tc>
        <w:tc>
          <w:tcPr>
            <w:tcW w:w="1171" w:type="dxa"/>
            <w:vAlign w:val="center"/>
          </w:tcPr>
          <w:p>
            <w:pPr>
              <w:rPr>
                <w:rFonts w:ascii="仿宋" w:hAnsi="仿宋" w:eastAsia="仿宋"/>
                <w:bCs/>
                <w:sz w:val="24"/>
              </w:rPr>
            </w:pPr>
            <w:r>
              <w:rPr>
                <w:rFonts w:hint="eastAsia" w:ascii="仿宋" w:hAnsi="仿宋" w:eastAsia="仿宋"/>
                <w:bCs/>
                <w:sz w:val="24"/>
              </w:rPr>
              <w:t>无</w:t>
            </w:r>
          </w:p>
        </w:tc>
      </w:tr>
    </w:tbl>
    <w:p>
      <w:pPr>
        <w:pStyle w:val="4"/>
        <w:numPr>
          <w:ilvl w:val="0"/>
          <w:numId w:val="1"/>
        </w:numPr>
        <w:adjustRightInd/>
        <w:spacing w:before="0" w:after="0"/>
        <w:ind w:left="0" w:firstLine="482" w:firstLineChars="200"/>
        <w:jc w:val="both"/>
        <w:textAlignment w:val="auto"/>
        <w:rPr>
          <w:sz w:val="24"/>
          <w:szCs w:val="24"/>
        </w:rPr>
      </w:pPr>
      <w:r>
        <w:rPr>
          <w:rFonts w:hint="eastAsia"/>
          <w:sz w:val="24"/>
          <w:szCs w:val="24"/>
        </w:rPr>
        <w:t>具体技术要求</w:t>
      </w:r>
    </w:p>
    <w:p>
      <w:pPr>
        <w:ind w:firstLine="482" w:firstLineChars="200"/>
        <w:rPr>
          <w:rFonts w:ascii="宋体" w:hAnsi="宋体"/>
          <w:b/>
          <w:sz w:val="24"/>
        </w:rPr>
      </w:pPr>
      <w:r>
        <w:rPr>
          <w:rFonts w:hint="eastAsia" w:ascii="宋体" w:hAnsi="宋体"/>
          <w:b/>
          <w:sz w:val="24"/>
        </w:rPr>
        <w:t>1、服务内容</w:t>
      </w:r>
    </w:p>
    <w:p>
      <w:pPr>
        <w:ind w:firstLine="480" w:firstLineChars="200"/>
        <w:rPr>
          <w:rFonts w:ascii="宋体" w:hAnsi="宋体"/>
          <w:sz w:val="24"/>
        </w:rPr>
      </w:pPr>
      <w:r>
        <w:rPr>
          <w:rFonts w:hint="eastAsia" w:ascii="宋体" w:hAnsi="宋体"/>
          <w:sz w:val="24"/>
        </w:rPr>
        <w:t xml:space="preserve">（1）接到采购人启动具体项目设计服务的通知后，中标人需主动了解工程概况及设计要求，设计前结合采购人使用单位要求进行现场踏勘，并充分与后勤保障部了解涉及项目的各项情况，设计深度满足相关建筑规范、消防及公安要求和采购人提出的具体要求，并按采购人阶段时间节点要求绘制出平面方案、施工平面图、天花图、拆除及砌筑墙体图等。 </w:t>
      </w:r>
    </w:p>
    <w:p>
      <w:pPr>
        <w:ind w:firstLine="480" w:firstLineChars="200"/>
        <w:rPr>
          <w:rFonts w:ascii="宋体" w:hAnsi="宋体"/>
          <w:sz w:val="24"/>
        </w:rPr>
      </w:pPr>
      <w:r>
        <w:rPr>
          <w:rFonts w:hint="eastAsia" w:ascii="宋体" w:hAnsi="宋体"/>
          <w:sz w:val="24"/>
        </w:rPr>
        <w:t xml:space="preserve">（2）施工前现状需要拆除的部分，设计单位需根据现场实际情况提供详细的图纸及说明，避免漏项。 </w:t>
      </w:r>
    </w:p>
    <w:p>
      <w:pPr>
        <w:ind w:firstLine="480" w:firstLineChars="200"/>
        <w:rPr>
          <w:rFonts w:ascii="宋体" w:hAnsi="宋体"/>
          <w:sz w:val="24"/>
        </w:rPr>
      </w:pPr>
      <w:r>
        <w:rPr>
          <w:rFonts w:hint="eastAsia" w:ascii="宋体" w:hAnsi="宋体"/>
          <w:sz w:val="24"/>
        </w:rPr>
        <w:t xml:space="preserve">（3）在规定时间内完成设计任务，且设计过程需及时根据采购人提出的要求进行图纸的修改和完善。参与现场踏勘、图纸会审、设计交底、中期勘察、现场例会、图纸调整、竣工验收等。 </w:t>
      </w:r>
    </w:p>
    <w:p>
      <w:pPr>
        <w:ind w:firstLine="480" w:firstLineChars="200"/>
        <w:rPr>
          <w:rFonts w:ascii="宋体" w:hAnsi="宋体"/>
          <w:sz w:val="24"/>
        </w:rPr>
      </w:pPr>
      <w:r>
        <w:rPr>
          <w:rFonts w:hint="eastAsia" w:ascii="宋体" w:hAnsi="宋体"/>
          <w:sz w:val="24"/>
        </w:rPr>
        <w:t xml:space="preserve">（4）开工前需派相关工程设计师参加图纸会审。 </w:t>
      </w:r>
    </w:p>
    <w:p>
      <w:pPr>
        <w:ind w:firstLine="480" w:firstLineChars="200"/>
        <w:rPr>
          <w:rFonts w:ascii="宋体" w:hAnsi="宋体"/>
          <w:sz w:val="24"/>
        </w:rPr>
      </w:pPr>
      <w:r>
        <w:rPr>
          <w:rFonts w:hint="eastAsia" w:ascii="宋体" w:hAnsi="宋体"/>
          <w:sz w:val="24"/>
        </w:rPr>
        <w:t xml:space="preserve">（5）施工过程中派相关工程设计师解决施工过程中的有关问题，设计方案如需改动，中标人须按采购人指定时限要求进行修改并提交相应图纸。 </w:t>
      </w:r>
    </w:p>
    <w:p>
      <w:pPr>
        <w:ind w:firstLine="480" w:firstLineChars="200"/>
        <w:rPr>
          <w:rFonts w:ascii="宋体" w:hAnsi="宋体"/>
          <w:sz w:val="24"/>
        </w:rPr>
      </w:pPr>
      <w:r>
        <w:rPr>
          <w:rFonts w:hint="eastAsia" w:ascii="宋体" w:hAnsi="宋体"/>
          <w:sz w:val="24"/>
        </w:rPr>
        <w:t xml:space="preserve">（6）《施工图》中不得设计指定或隐含指定专门品牌的工程主材、设备等，可以推荐三个以上的品牌及样板供采购人参考，如必须指定时应先同采购人说明，并向采购人提供材料样板和材料说明书，经采购人同意后方可正式用于设计中。 </w:t>
      </w:r>
    </w:p>
    <w:p>
      <w:pPr>
        <w:ind w:firstLine="480" w:firstLineChars="200"/>
        <w:rPr>
          <w:rFonts w:ascii="宋体" w:hAnsi="宋体"/>
          <w:sz w:val="24"/>
        </w:rPr>
      </w:pPr>
      <w:r>
        <w:rPr>
          <w:rFonts w:hint="eastAsia" w:ascii="宋体" w:hAnsi="宋体"/>
          <w:sz w:val="24"/>
        </w:rPr>
        <w:t>（7）遵守国家有关法律法规、国标及深圳市有关的工程设计规范。</w:t>
      </w:r>
    </w:p>
    <w:p>
      <w:pPr>
        <w:ind w:firstLine="480" w:firstLineChars="200"/>
        <w:rPr>
          <w:rFonts w:ascii="宋体" w:hAnsi="宋体"/>
          <w:sz w:val="24"/>
        </w:rPr>
      </w:pPr>
      <w:r>
        <w:rPr>
          <w:rFonts w:hint="eastAsia" w:ascii="宋体" w:hAnsi="宋体"/>
          <w:sz w:val="24"/>
        </w:rPr>
        <w:t>（8）中标人应以预算限额为设计基础，通过多方案技术经济比较，对设计进行论证、研究，有效地进行投资控制，确保工程费用符合本工程项目实际。</w:t>
      </w:r>
    </w:p>
    <w:p>
      <w:pPr>
        <w:ind w:firstLine="482" w:firstLineChars="200"/>
        <w:rPr>
          <w:rFonts w:ascii="宋体" w:hAnsi="宋体"/>
          <w:b/>
          <w:sz w:val="24"/>
        </w:rPr>
      </w:pPr>
      <w:r>
        <w:rPr>
          <w:rFonts w:hint="eastAsia" w:ascii="宋体" w:hAnsi="宋体"/>
          <w:b/>
          <w:sz w:val="24"/>
        </w:rPr>
        <w:t>2、人员要求</w:t>
      </w:r>
    </w:p>
    <w:p>
      <w:pPr>
        <w:ind w:firstLine="480" w:firstLineChars="200"/>
        <w:rPr>
          <w:rFonts w:ascii="宋体" w:hAnsi="宋体"/>
          <w:sz w:val="24"/>
        </w:rPr>
      </w:pPr>
      <w:r>
        <w:rPr>
          <w:rFonts w:hint="eastAsia" w:ascii="宋体" w:hAnsi="宋体"/>
          <w:sz w:val="24"/>
        </w:rPr>
        <w:t>（1）项目负责人（仅1人）</w:t>
      </w:r>
    </w:p>
    <w:p>
      <w:pPr>
        <w:ind w:firstLine="480" w:firstLineChars="200"/>
        <w:rPr>
          <w:rFonts w:ascii="宋体" w:hAnsi="宋体"/>
          <w:sz w:val="24"/>
        </w:rPr>
      </w:pPr>
      <w:r>
        <w:rPr>
          <w:rFonts w:hint="eastAsia" w:ascii="宋体" w:hAnsi="宋体"/>
          <w:sz w:val="24"/>
        </w:rPr>
        <w:t>项目负责人具备建筑类专业高级（含副高）工程师职称证书或高级室内建筑师资格证书或高级室内设计师证书，具有设计相关从业经验。</w:t>
      </w:r>
    </w:p>
    <w:p>
      <w:pPr>
        <w:ind w:firstLine="480" w:firstLineChars="200"/>
        <w:rPr>
          <w:rFonts w:ascii="宋体" w:hAnsi="宋体"/>
          <w:sz w:val="24"/>
        </w:rPr>
      </w:pPr>
      <w:r>
        <w:rPr>
          <w:rFonts w:hint="eastAsia" w:ascii="宋体" w:hAnsi="宋体"/>
          <w:sz w:val="24"/>
        </w:rPr>
        <w:t>（2）项目团队成员</w:t>
      </w:r>
    </w:p>
    <w:p>
      <w:pPr>
        <w:ind w:firstLine="480" w:firstLineChars="200"/>
        <w:rPr>
          <w:rFonts w:ascii="宋体" w:hAnsi="宋体"/>
          <w:sz w:val="24"/>
        </w:rPr>
      </w:pPr>
      <w:r>
        <w:rPr>
          <w:rFonts w:hint="eastAsia" w:ascii="宋体" w:hAnsi="宋体"/>
          <w:sz w:val="24"/>
        </w:rPr>
        <w:t>项目团队成员（项目负责人除外）不少于</w:t>
      </w:r>
      <w:r>
        <w:rPr>
          <w:rFonts w:ascii="宋体" w:hAnsi="宋体"/>
          <w:sz w:val="24"/>
        </w:rPr>
        <w:t>2</w:t>
      </w:r>
      <w:r>
        <w:rPr>
          <w:rFonts w:hint="eastAsia" w:ascii="宋体" w:hAnsi="宋体"/>
          <w:sz w:val="24"/>
        </w:rPr>
        <w:t>人，具有建筑类专业中级或以上职称。</w:t>
      </w:r>
    </w:p>
    <w:p>
      <w:pPr>
        <w:ind w:firstLine="480" w:firstLineChars="200"/>
        <w:rPr>
          <w:rFonts w:ascii="宋体" w:hAnsi="宋体"/>
          <w:sz w:val="24"/>
        </w:rPr>
      </w:pPr>
      <w:r>
        <w:rPr>
          <w:rFonts w:hint="eastAsia" w:ascii="宋体" w:hAnsi="宋体"/>
          <w:sz w:val="24"/>
        </w:rPr>
        <w:t>（3）人员变更</w:t>
      </w:r>
      <w:r>
        <w:rPr>
          <w:rFonts w:hint="eastAsia" w:ascii="宋体" w:hAnsi="宋体"/>
          <w:sz w:val="24"/>
        </w:rPr>
        <w:tab/>
      </w:r>
    </w:p>
    <w:p>
      <w:pPr>
        <w:ind w:firstLine="480" w:firstLineChars="200"/>
        <w:rPr>
          <w:rFonts w:ascii="宋体" w:hAnsi="宋体"/>
          <w:sz w:val="24"/>
        </w:rPr>
      </w:pPr>
      <w:r>
        <w:rPr>
          <w:rFonts w:hint="eastAsia" w:ascii="宋体" w:hAnsi="宋体"/>
          <w:sz w:val="24"/>
        </w:rPr>
        <w:t>在服务期限内，项目人员应相对稳定，更换现场人员，须经采购人书面同意后方可更换。供应商须指定2名签收人，代表供应商签收采购人发出的任务书。签收人需持供应商法人授权委托书报采购方备案，授权有效期与双方签订的框架合同期限一致。更换授权签收人须提前30个工作日向采购人提出书面申请。</w:t>
      </w:r>
    </w:p>
    <w:p>
      <w:pPr>
        <w:pStyle w:val="4"/>
        <w:numPr>
          <w:ilvl w:val="0"/>
          <w:numId w:val="1"/>
        </w:numPr>
        <w:adjustRightInd/>
        <w:spacing w:before="0" w:after="0"/>
        <w:ind w:left="0" w:firstLine="482" w:firstLineChars="200"/>
        <w:jc w:val="both"/>
        <w:textAlignment w:val="auto"/>
        <w:rPr>
          <w:sz w:val="24"/>
          <w:szCs w:val="24"/>
        </w:rPr>
      </w:pPr>
      <w:r>
        <w:rPr>
          <w:rFonts w:hint="eastAsia"/>
          <w:sz w:val="24"/>
          <w:szCs w:val="24"/>
        </w:rPr>
        <w:t>商务需求</w:t>
      </w:r>
    </w:p>
    <w:tbl>
      <w:tblPr>
        <w:tblStyle w:val="17"/>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01"/>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28" w:type="dxa"/>
            <w:vAlign w:val="center"/>
          </w:tcPr>
          <w:p>
            <w:pPr>
              <w:jc w:val="center"/>
              <w:rPr>
                <w:rFonts w:ascii="仿宋" w:hAnsi="仿宋" w:eastAsia="仿宋"/>
                <w:sz w:val="24"/>
              </w:rPr>
            </w:pPr>
            <w:r>
              <w:rPr>
                <w:rFonts w:hint="eastAsia" w:ascii="仿宋" w:hAnsi="仿宋" w:eastAsia="仿宋"/>
                <w:sz w:val="24"/>
              </w:rPr>
              <w:t>1</w:t>
            </w:r>
          </w:p>
        </w:tc>
        <w:tc>
          <w:tcPr>
            <w:tcW w:w="1701" w:type="dxa"/>
            <w:vAlign w:val="center"/>
          </w:tcPr>
          <w:p>
            <w:pPr>
              <w:jc w:val="center"/>
              <w:rPr>
                <w:rFonts w:ascii="仿宋" w:hAnsi="仿宋" w:eastAsia="仿宋" w:cs="宋体"/>
                <w:kern w:val="0"/>
                <w:sz w:val="24"/>
              </w:rPr>
            </w:pPr>
            <w:r>
              <w:rPr>
                <w:rFonts w:hint="eastAsia" w:ascii="仿宋" w:hAnsi="仿宋" w:eastAsia="仿宋" w:cs="宋体"/>
                <w:kern w:val="0"/>
                <w:sz w:val="24"/>
              </w:rPr>
              <w:t>★服务期</w:t>
            </w:r>
          </w:p>
        </w:tc>
        <w:tc>
          <w:tcPr>
            <w:tcW w:w="6197" w:type="dxa"/>
          </w:tcPr>
          <w:p>
            <w:pPr>
              <w:rPr>
                <w:rFonts w:ascii="仿宋" w:hAnsi="仿宋" w:eastAsia="仿宋" w:cs="宋体"/>
                <w:kern w:val="0"/>
                <w:sz w:val="24"/>
              </w:rPr>
            </w:pPr>
            <w:r>
              <w:rPr>
                <w:rFonts w:hint="eastAsia" w:ascii="仿宋" w:hAnsi="仿宋" w:eastAsia="仿宋" w:cs="宋体"/>
                <w:kern w:val="0"/>
                <w:sz w:val="24"/>
              </w:rPr>
              <w:t>1.签订合同之日起</w:t>
            </w:r>
            <w:r>
              <w:rPr>
                <w:rFonts w:hint="eastAsia" w:ascii="仿宋" w:hAnsi="仿宋" w:eastAsia="仿宋" w:cs="宋体"/>
                <w:kern w:val="0"/>
                <w:sz w:val="24"/>
                <w:u w:val="single"/>
              </w:rPr>
              <w:t xml:space="preserve"> </w:t>
            </w:r>
            <w:r>
              <w:rPr>
                <w:rFonts w:ascii="仿宋" w:hAnsi="仿宋" w:eastAsia="仿宋" w:cs="宋体"/>
                <w:kern w:val="0"/>
                <w:sz w:val="24"/>
                <w:u w:val="single"/>
              </w:rPr>
              <w:t>20</w:t>
            </w:r>
            <w:r>
              <w:rPr>
                <w:rFonts w:hint="eastAsia" w:ascii="仿宋" w:hAnsi="仿宋" w:eastAsia="仿宋" w:cs="宋体"/>
                <w:kern w:val="0"/>
                <w:sz w:val="24"/>
                <w:u w:val="single"/>
              </w:rPr>
              <w:t xml:space="preserve"> </w:t>
            </w:r>
            <w:r>
              <w:rPr>
                <w:rFonts w:hint="eastAsia" w:ascii="仿宋" w:hAnsi="仿宋" w:eastAsia="仿宋" w:cs="宋体"/>
                <w:kern w:val="0"/>
                <w:sz w:val="24"/>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28" w:type="dxa"/>
            <w:vAlign w:val="center"/>
          </w:tcPr>
          <w:p>
            <w:pPr>
              <w:jc w:val="center"/>
              <w:rPr>
                <w:rFonts w:ascii="仿宋" w:hAnsi="仿宋" w:eastAsia="仿宋"/>
                <w:sz w:val="24"/>
              </w:rPr>
            </w:pPr>
            <w:r>
              <w:rPr>
                <w:rFonts w:hint="eastAsia" w:ascii="仿宋" w:hAnsi="仿宋" w:eastAsia="仿宋"/>
                <w:sz w:val="24"/>
              </w:rPr>
              <w:t>2</w:t>
            </w:r>
          </w:p>
        </w:tc>
        <w:tc>
          <w:tcPr>
            <w:tcW w:w="1701" w:type="dxa"/>
            <w:vAlign w:val="center"/>
          </w:tcPr>
          <w:p>
            <w:pPr>
              <w:jc w:val="center"/>
              <w:rPr>
                <w:rFonts w:ascii="仿宋" w:hAnsi="仿宋" w:eastAsia="仿宋"/>
                <w:sz w:val="24"/>
              </w:rPr>
            </w:pPr>
            <w:r>
              <w:rPr>
                <w:rFonts w:hint="eastAsia" w:ascii="仿宋" w:hAnsi="仿宋" w:eastAsia="仿宋" w:cs="宋体"/>
                <w:kern w:val="0"/>
                <w:sz w:val="24"/>
              </w:rPr>
              <w:t>★</w:t>
            </w:r>
            <w:r>
              <w:rPr>
                <w:rFonts w:hint="eastAsia" w:ascii="仿宋" w:hAnsi="仿宋" w:eastAsia="仿宋"/>
                <w:sz w:val="24"/>
              </w:rPr>
              <w:t>关于验收</w:t>
            </w:r>
          </w:p>
        </w:tc>
        <w:tc>
          <w:tcPr>
            <w:tcW w:w="6197" w:type="dxa"/>
          </w:tcPr>
          <w:p>
            <w:pPr>
              <w:spacing w:line="340" w:lineRule="exact"/>
              <w:rPr>
                <w:rFonts w:ascii="仿宋" w:hAnsi="仿宋" w:eastAsia="仿宋"/>
                <w:bCs/>
                <w:sz w:val="24"/>
              </w:rPr>
            </w:pPr>
            <w:r>
              <w:rPr>
                <w:rFonts w:hint="eastAsia" w:ascii="仿宋" w:hAnsi="仿宋" w:eastAsia="仿宋"/>
                <w:bCs/>
                <w:sz w:val="24"/>
              </w:rPr>
              <w:t>当满足以下条件时，采购人才向中标人签发货物验收报告：</w:t>
            </w:r>
          </w:p>
          <w:p>
            <w:pPr>
              <w:tabs>
                <w:tab w:val="left" w:pos="1260"/>
              </w:tabs>
              <w:spacing w:line="340" w:lineRule="exact"/>
              <w:rPr>
                <w:rFonts w:ascii="仿宋" w:hAnsi="仿宋" w:eastAsia="仿宋"/>
                <w:bCs/>
                <w:sz w:val="24"/>
              </w:rPr>
            </w:pPr>
            <w:r>
              <w:rPr>
                <w:rFonts w:ascii="仿宋" w:hAnsi="仿宋" w:eastAsia="仿宋"/>
                <w:bCs/>
                <w:sz w:val="24"/>
              </w:rPr>
              <w:t>a</w:t>
            </w:r>
            <w:r>
              <w:rPr>
                <w:rFonts w:hint="eastAsia" w:ascii="仿宋" w:hAnsi="仿宋" w:eastAsia="仿宋"/>
                <w:bCs/>
                <w:sz w:val="24"/>
              </w:rPr>
              <w:t>、中标人已按照合同规定提供了全部服务。</w:t>
            </w:r>
          </w:p>
          <w:p>
            <w:pPr>
              <w:tabs>
                <w:tab w:val="left" w:pos="1260"/>
              </w:tabs>
              <w:spacing w:line="340" w:lineRule="exact"/>
              <w:rPr>
                <w:rFonts w:ascii="仿宋" w:hAnsi="仿宋" w:eastAsia="仿宋"/>
                <w:bCs/>
                <w:sz w:val="24"/>
              </w:rPr>
            </w:pPr>
            <w:r>
              <w:rPr>
                <w:rFonts w:ascii="仿宋" w:hAnsi="仿宋" w:eastAsia="仿宋"/>
                <w:bCs/>
                <w:sz w:val="24"/>
              </w:rPr>
              <w:t>b</w:t>
            </w:r>
            <w:r>
              <w:rPr>
                <w:rFonts w:hint="eastAsia" w:ascii="仿宋" w:hAnsi="仿宋" w:eastAsia="仿宋"/>
                <w:bCs/>
                <w:sz w:val="24"/>
              </w:rPr>
              <w:t>、中标人提供的服务符合招标文件技术、商务的要求。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28" w:type="dxa"/>
            <w:vAlign w:val="center"/>
          </w:tcPr>
          <w:p>
            <w:pPr>
              <w:jc w:val="center"/>
              <w:rPr>
                <w:rFonts w:ascii="仿宋" w:hAnsi="仿宋" w:eastAsia="仿宋"/>
                <w:sz w:val="24"/>
              </w:rPr>
            </w:pPr>
            <w:r>
              <w:rPr>
                <w:rFonts w:hint="eastAsia" w:ascii="仿宋" w:hAnsi="仿宋" w:eastAsia="仿宋"/>
                <w:sz w:val="24"/>
              </w:rPr>
              <w:t>3</w:t>
            </w:r>
          </w:p>
        </w:tc>
        <w:tc>
          <w:tcPr>
            <w:tcW w:w="1701" w:type="dxa"/>
            <w:vAlign w:val="center"/>
          </w:tcPr>
          <w:p>
            <w:pPr>
              <w:jc w:val="center"/>
              <w:rPr>
                <w:rFonts w:ascii="仿宋" w:hAnsi="仿宋" w:eastAsia="仿宋"/>
                <w:sz w:val="24"/>
              </w:rPr>
            </w:pPr>
            <w:r>
              <w:rPr>
                <w:rFonts w:hint="eastAsia" w:ascii="仿宋" w:hAnsi="仿宋" w:eastAsia="仿宋"/>
                <w:sz w:val="24"/>
              </w:rPr>
              <w:t>付款方式</w:t>
            </w:r>
          </w:p>
        </w:tc>
        <w:tc>
          <w:tcPr>
            <w:tcW w:w="6197" w:type="dxa"/>
            <w:vAlign w:val="center"/>
          </w:tcPr>
          <w:p>
            <w:pPr>
              <w:rPr>
                <w:rFonts w:ascii="仿宋" w:hAnsi="仿宋" w:eastAsia="仿宋" w:cs="宋体"/>
                <w:kern w:val="0"/>
                <w:sz w:val="24"/>
              </w:rPr>
            </w:pPr>
            <w:r>
              <w:rPr>
                <w:rFonts w:hint="eastAsia" w:ascii="仿宋" w:hAnsi="仿宋" w:eastAsia="仿宋" w:cs="宋体"/>
                <w:kern w:val="0"/>
                <w:sz w:val="24"/>
              </w:rPr>
              <w:t>按合同约定完成履约后，并经采购人组织的验收合格后，甲方在收到乙方付款申请、履约保证金（如有）及付款所需要的材料后15个工作日内，采购人向中标人一次性付清合同款项。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28" w:type="dxa"/>
            <w:vAlign w:val="center"/>
          </w:tcPr>
          <w:p>
            <w:pPr>
              <w:jc w:val="center"/>
              <w:rPr>
                <w:rFonts w:ascii="仿宋" w:hAnsi="仿宋" w:eastAsia="仿宋" w:cs="宋体"/>
                <w:kern w:val="0"/>
                <w:sz w:val="24"/>
              </w:rPr>
            </w:pPr>
            <w:r>
              <w:rPr>
                <w:rFonts w:ascii="仿宋" w:hAnsi="仿宋" w:eastAsia="仿宋" w:cs="宋体"/>
                <w:kern w:val="0"/>
                <w:sz w:val="24"/>
              </w:rPr>
              <w:t>4</w:t>
            </w:r>
          </w:p>
        </w:tc>
        <w:tc>
          <w:tcPr>
            <w:tcW w:w="1701" w:type="dxa"/>
            <w:vAlign w:val="center"/>
          </w:tcPr>
          <w:p>
            <w:pPr>
              <w:jc w:val="center"/>
              <w:rPr>
                <w:rFonts w:ascii="仿宋" w:hAnsi="仿宋" w:eastAsia="仿宋" w:cs="宋体"/>
                <w:kern w:val="0"/>
                <w:sz w:val="24"/>
              </w:rPr>
            </w:pPr>
            <w:r>
              <w:rPr>
                <w:rFonts w:hint="eastAsia" w:ascii="仿宋" w:hAnsi="仿宋" w:eastAsia="仿宋" w:cs="宋体"/>
                <w:sz w:val="24"/>
              </w:rPr>
              <w:t>★</w:t>
            </w:r>
            <w:r>
              <w:rPr>
                <w:rFonts w:hint="eastAsia" w:ascii="仿宋" w:hAnsi="仿宋" w:eastAsia="仿宋" w:cs="宋体"/>
                <w:kern w:val="0"/>
                <w:sz w:val="24"/>
              </w:rPr>
              <w:t>诚信履约</w:t>
            </w:r>
          </w:p>
        </w:tc>
        <w:tc>
          <w:tcPr>
            <w:tcW w:w="6197" w:type="dxa"/>
            <w:vAlign w:val="center"/>
          </w:tcPr>
          <w:p>
            <w:pPr>
              <w:rPr>
                <w:rFonts w:ascii="仿宋" w:hAnsi="仿宋" w:eastAsia="仿宋" w:cs="宋体"/>
                <w:sz w:val="24"/>
              </w:rPr>
            </w:pPr>
            <w:r>
              <w:rPr>
                <w:rFonts w:hint="eastAsia" w:ascii="仿宋" w:hAnsi="仿宋" w:eastAsia="仿宋" w:cs="宋体"/>
                <w:sz w:val="24"/>
              </w:rPr>
              <w:t>投标人承诺</w:t>
            </w:r>
            <w:r>
              <w:rPr>
                <w:rFonts w:ascii="仿宋" w:hAnsi="仿宋" w:eastAsia="仿宋" w:cs="宋体"/>
                <w:sz w:val="24"/>
              </w:rPr>
              <w:t>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28" w:type="dxa"/>
            <w:vAlign w:val="center"/>
          </w:tcPr>
          <w:p>
            <w:pPr>
              <w:jc w:val="center"/>
              <w:rPr>
                <w:rFonts w:ascii="仿宋" w:hAnsi="仿宋" w:eastAsia="仿宋" w:cs="宋体"/>
                <w:kern w:val="0"/>
                <w:sz w:val="24"/>
              </w:rPr>
            </w:pPr>
            <w:r>
              <w:rPr>
                <w:rFonts w:ascii="仿宋" w:hAnsi="仿宋" w:eastAsia="仿宋" w:cs="宋体"/>
                <w:kern w:val="0"/>
                <w:sz w:val="24"/>
              </w:rPr>
              <w:t>5</w:t>
            </w:r>
          </w:p>
        </w:tc>
        <w:tc>
          <w:tcPr>
            <w:tcW w:w="1701" w:type="dxa"/>
            <w:vAlign w:val="center"/>
          </w:tcPr>
          <w:p>
            <w:pPr>
              <w:jc w:val="center"/>
              <w:rPr>
                <w:rFonts w:ascii="仿宋" w:hAnsi="仿宋" w:eastAsia="仿宋" w:cs="宋体"/>
                <w:color w:val="FF0000"/>
                <w:kern w:val="0"/>
                <w:sz w:val="24"/>
              </w:rPr>
            </w:pPr>
            <w:r>
              <w:rPr>
                <w:rFonts w:hint="eastAsia" w:ascii="仿宋" w:hAnsi="仿宋" w:eastAsia="仿宋" w:cs="宋体"/>
                <w:kern w:val="0"/>
                <w:sz w:val="24"/>
              </w:rPr>
              <w:t>售后服务</w:t>
            </w:r>
          </w:p>
        </w:tc>
        <w:tc>
          <w:tcPr>
            <w:tcW w:w="6197" w:type="dxa"/>
            <w:vAlign w:val="center"/>
          </w:tcPr>
          <w:p>
            <w:pPr>
              <w:rPr>
                <w:rFonts w:ascii="仿宋" w:hAnsi="仿宋" w:eastAsia="仿宋" w:cs="宋体"/>
                <w:sz w:val="24"/>
              </w:rPr>
            </w:pPr>
            <w:r>
              <w:rPr>
                <w:rFonts w:hint="eastAsia" w:ascii="仿宋" w:hAnsi="仿宋" w:eastAsia="仿宋" w:cs="宋体"/>
                <w:sz w:val="24"/>
              </w:rPr>
              <w:t>本项目技术服务报告提交采购人并通过验收后即进入售后服务期，要求由中标人提供施工期配合的技术支持。</w:t>
            </w:r>
          </w:p>
          <w:p>
            <w:pPr>
              <w:rPr>
                <w:rFonts w:ascii="仿宋" w:hAnsi="仿宋" w:eastAsia="仿宋" w:cs="宋体"/>
                <w:sz w:val="24"/>
              </w:rPr>
            </w:pPr>
            <w:r>
              <w:rPr>
                <w:rFonts w:hint="eastAsia" w:ascii="仿宋" w:hAnsi="仿宋" w:eastAsia="仿宋" w:cs="宋体"/>
                <w:sz w:val="24"/>
              </w:rPr>
              <w:t>1．投标人在中标后应提供详细的售后服务承诺书；</w:t>
            </w:r>
          </w:p>
          <w:p>
            <w:pPr>
              <w:rPr>
                <w:rFonts w:ascii="仿宋" w:hAnsi="仿宋" w:eastAsia="仿宋" w:cs="宋体"/>
                <w:sz w:val="24"/>
              </w:rPr>
            </w:pPr>
            <w:r>
              <w:rPr>
                <w:rFonts w:hint="eastAsia" w:ascii="仿宋" w:hAnsi="仿宋" w:eastAsia="仿宋" w:cs="宋体"/>
                <w:sz w:val="24"/>
              </w:rPr>
              <w:t>2．安排专人负责售后技术支持，并提供其联系手机、电话、传真、Email；如人员需要调整应及时通知采购人；</w:t>
            </w:r>
          </w:p>
          <w:p>
            <w:pPr>
              <w:rPr>
                <w:rFonts w:ascii="仿宋" w:hAnsi="仿宋" w:eastAsia="仿宋" w:cs="宋体"/>
                <w:sz w:val="24"/>
              </w:rPr>
            </w:pPr>
            <w:r>
              <w:rPr>
                <w:rFonts w:hint="eastAsia" w:ascii="仿宋" w:hAnsi="仿宋" w:eastAsia="仿宋" w:cs="宋体"/>
                <w:sz w:val="24"/>
              </w:rPr>
              <w:t>3．按采购人要求完成售后服务。</w:t>
            </w:r>
          </w:p>
        </w:tc>
      </w:tr>
    </w:tbl>
    <w:p>
      <w:pPr>
        <w:ind w:firstLine="420" w:firstLineChars="200"/>
        <w:rPr>
          <w:bCs/>
          <w:szCs w:val="21"/>
        </w:rPr>
      </w:pPr>
      <w:r>
        <w:rPr>
          <w:rFonts w:hint="eastAsia" w:ascii="宋体" w:hAnsi="宋体" w:cs="宋体"/>
          <w:bCs/>
        </w:rPr>
        <w:t>备注：</w:t>
      </w:r>
      <w:r>
        <w:rPr>
          <w:rFonts w:hint="eastAsia"/>
          <w:bCs/>
          <w:szCs w:val="21"/>
        </w:rPr>
        <w:t>带“</w:t>
      </w:r>
      <w:r>
        <w:rPr>
          <w:rFonts w:hint="eastAsia" w:ascii="宋体" w:hAnsi="宋体" w:cs="宋体"/>
          <w:bCs/>
          <w:szCs w:val="21"/>
        </w:rPr>
        <w:t>★</w:t>
      </w:r>
      <w:r>
        <w:rPr>
          <w:rFonts w:hint="eastAsia"/>
          <w:bCs/>
          <w:szCs w:val="21"/>
        </w:rPr>
        <w:t>”指标项为实质性条款，如出现负偏离，将被视为未实质性满足招标文件要求作投标无效处理。带“</w:t>
      </w:r>
      <w:r>
        <w:rPr>
          <w:bCs/>
        </w:rPr>
        <w:t>▲</w:t>
      </w:r>
      <w:r>
        <w:rPr>
          <w:rFonts w:hint="eastAsia"/>
          <w:bCs/>
          <w:szCs w:val="21"/>
        </w:rPr>
        <w:t xml:space="preserve">”指标项为重要参数，负偏离时依相关评分准则内容作重点扣分处理。 </w:t>
      </w:r>
    </w:p>
    <w:p>
      <w:pPr>
        <w:pStyle w:val="33"/>
        <w:ind w:left="284" w:firstLine="0" w:firstLineChars="0"/>
        <w:rPr>
          <w:color w:val="000000" w:themeColor="text1"/>
          <w14:textFill>
            <w14:solidFill>
              <w14:schemeClr w14:val="tx1"/>
            </w14:solidFill>
          </w14:textFill>
        </w:rPr>
      </w:pPr>
      <w:r>
        <w:rPr>
          <w:rFonts w:ascii="宋体" w:hAnsi="宋体"/>
          <w:b/>
          <w:sz w:val="24"/>
        </w:rPr>
        <w:br w:type="page"/>
      </w:r>
    </w:p>
    <w:p>
      <w:pPr>
        <w:pStyle w:val="3"/>
      </w:pPr>
      <w:r>
        <w:rPr>
          <w:rFonts w:hint="eastAsia"/>
        </w:rPr>
        <w:t>第三章  投标文件格式</w:t>
      </w:r>
    </w:p>
    <w:p>
      <w:pPr>
        <w:rPr>
          <w:rStyle w:val="27"/>
          <w:rFonts w:ascii="宋体" w:hAnsi="宋体" w:eastAsia="宋体" w:cs="宋体"/>
          <w:sz w:val="28"/>
          <w:szCs w:val="28"/>
        </w:rPr>
      </w:pPr>
      <w:r>
        <w:rPr>
          <w:rStyle w:val="27"/>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r>
        <w:rPr>
          <w:rFonts w:hint="eastAsia" w:ascii="宋体" w:hAnsi="宋体" w:cs="宋体"/>
          <w:sz w:val="24"/>
        </w:rPr>
        <w:cr/>
      </w:r>
      <w:r>
        <w:rPr>
          <w:rFonts w:hint="eastAsia" w:ascii="宋体" w:hAnsi="宋体" w:cs="宋体"/>
          <w:sz w:val="24"/>
        </w:rPr>
        <w:t>2、法定代表人证明书</w:t>
      </w:r>
      <w:r>
        <w:rPr>
          <w:rFonts w:hint="eastAsia" w:ascii="宋体" w:hAnsi="宋体" w:cs="宋体"/>
          <w:sz w:val="24"/>
        </w:rPr>
        <w:cr/>
      </w:r>
      <w:r>
        <w:rPr>
          <w:rFonts w:hint="eastAsia" w:ascii="宋体" w:hAnsi="宋体" w:cs="宋体"/>
          <w:sz w:val="24"/>
        </w:rPr>
        <w:t>3、投标文件签署授权委托书</w:t>
      </w:r>
      <w:r>
        <w:rPr>
          <w:rFonts w:hint="eastAsia" w:ascii="宋体" w:hAnsi="宋体" w:cs="宋体"/>
          <w:sz w:val="24"/>
        </w:rPr>
        <w:cr/>
      </w:r>
      <w:r>
        <w:rPr>
          <w:rFonts w:hint="eastAsia" w:ascii="宋体" w:hAnsi="宋体" w:cs="宋体"/>
          <w:sz w:val="24"/>
        </w:rPr>
        <w:t>4、投标承诺函</w:t>
      </w:r>
      <w:r>
        <w:rPr>
          <w:rFonts w:hint="eastAsia" w:ascii="宋体" w:hAnsi="宋体" w:cs="宋体"/>
          <w:sz w:val="24"/>
        </w:rPr>
        <w:cr/>
      </w:r>
      <w:r>
        <w:rPr>
          <w:rFonts w:hint="eastAsia" w:ascii="宋体" w:hAnsi="宋体" w:cs="宋体"/>
          <w:sz w:val="24"/>
        </w:rPr>
        <w:t>5、投标人情况介绍</w:t>
      </w:r>
      <w:r>
        <w:rPr>
          <w:rFonts w:hint="eastAsia" w:ascii="宋体" w:hAnsi="宋体" w:cs="宋体"/>
          <w:sz w:val="24"/>
        </w:rPr>
        <w:cr/>
      </w:r>
      <w:r>
        <w:rPr>
          <w:rFonts w:hint="eastAsia" w:ascii="宋体" w:hAnsi="宋体" w:cs="宋体"/>
          <w:sz w:val="24"/>
        </w:rPr>
        <w:t>6、分项报价清单</w:t>
      </w:r>
      <w:r>
        <w:rPr>
          <w:rFonts w:hint="eastAsia" w:ascii="宋体" w:hAnsi="宋体" w:cs="宋体"/>
          <w:sz w:val="24"/>
        </w:rPr>
        <w:cr/>
      </w:r>
      <w:r>
        <w:rPr>
          <w:rFonts w:hint="eastAsia" w:ascii="宋体" w:hAnsi="宋体" w:cs="宋体"/>
          <w:sz w:val="24"/>
        </w:rPr>
        <w:t>7、项目主要管理及技术人员情况</w:t>
      </w:r>
      <w:r>
        <w:rPr>
          <w:rFonts w:hint="eastAsia" w:ascii="宋体" w:hAnsi="宋体" w:cs="宋体"/>
          <w:sz w:val="24"/>
        </w:rPr>
        <w:cr/>
      </w:r>
      <w:r>
        <w:rPr>
          <w:rFonts w:hint="eastAsia" w:ascii="宋体" w:hAnsi="宋体" w:cs="宋体"/>
          <w:sz w:val="24"/>
        </w:rPr>
        <w:t>8、商务需求偏离表</w:t>
      </w:r>
      <w:r>
        <w:rPr>
          <w:rFonts w:hint="eastAsia" w:ascii="宋体" w:hAnsi="宋体" w:cs="宋体"/>
          <w:sz w:val="24"/>
        </w:rPr>
        <w:cr/>
      </w:r>
      <w:r>
        <w:rPr>
          <w:rFonts w:hint="eastAsia" w:ascii="宋体" w:hAnsi="宋体" w:cs="宋体"/>
          <w:sz w:val="24"/>
        </w:rPr>
        <w:t>9、技术保障措施</w:t>
      </w:r>
      <w:r>
        <w:rPr>
          <w:rFonts w:hint="eastAsia" w:ascii="宋体" w:hAnsi="宋体" w:cs="宋体"/>
          <w:sz w:val="24"/>
        </w:rPr>
        <w:cr/>
      </w:r>
      <w:r>
        <w:rPr>
          <w:rFonts w:hint="eastAsia" w:ascii="宋体" w:hAnsi="宋体" w:cs="宋体"/>
          <w:sz w:val="24"/>
        </w:rPr>
        <w:t>10、实施安全保障措施</w:t>
      </w:r>
      <w:r>
        <w:rPr>
          <w:rFonts w:hint="eastAsia" w:ascii="宋体" w:hAnsi="宋体" w:cs="宋体"/>
          <w:sz w:val="24"/>
        </w:rPr>
        <w:cr/>
      </w:r>
      <w:r>
        <w:rPr>
          <w:rFonts w:hint="eastAsia" w:ascii="宋体" w:hAnsi="宋体" w:cs="宋体"/>
          <w:sz w:val="24"/>
        </w:rPr>
        <w:t>11、项目实施方案</w:t>
      </w:r>
      <w:r>
        <w:rPr>
          <w:rFonts w:hint="eastAsia" w:ascii="宋体" w:hAnsi="宋体" w:cs="宋体"/>
          <w:sz w:val="24"/>
        </w:rPr>
        <w:cr/>
      </w:r>
      <w:r>
        <w:rPr>
          <w:rFonts w:hint="eastAsia" w:ascii="宋体" w:hAnsi="宋体" w:cs="宋体"/>
          <w:sz w:val="24"/>
        </w:rPr>
        <w:t>12、售后服务方案</w:t>
      </w:r>
      <w:r>
        <w:rPr>
          <w:rFonts w:ascii="宋体" w:hAnsi="宋体" w:cs="宋体"/>
          <w:sz w:val="24"/>
        </w:rPr>
        <w:cr/>
      </w: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10" w:firstLineChars="100"/>
              <w:rPr>
                <w:rFonts w:ascii="宋体" w:hAnsi="宋体" w:cs="宋体"/>
                <w:color w:val="000000"/>
                <w:kern w:val="0"/>
                <w:szCs w:val="21"/>
                <w:lang w:val="zh-CN"/>
              </w:rPr>
            </w:pP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5"/>
        <w:numPr>
          <w:ilvl w:val="0"/>
          <w:numId w:val="3"/>
        </w:numPr>
        <w:jc w:val="center"/>
        <w:rPr>
          <w:rFonts w:cs="宋体"/>
          <w:bCs w:val="0"/>
          <w:kern w:val="0"/>
          <w:szCs w:val="28"/>
        </w:rPr>
      </w:pPr>
      <w:r>
        <w:rPr>
          <w:rFonts w:hint="eastAsia" w:cs="宋体"/>
          <w:bCs w:val="0"/>
          <w:kern w:val="0"/>
          <w:szCs w:val="28"/>
        </w:rPr>
        <w:t>评标指引表</w:t>
      </w:r>
    </w:p>
    <w:tbl>
      <w:tblPr>
        <w:tblStyle w:val="17"/>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5"/>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u w:val="single"/>
        </w:rPr>
        <w:t>____________</w:t>
      </w:r>
      <w:r>
        <w:rPr>
          <w:rFonts w:hint="eastAsia" w:ascii="宋体" w:hAnsi="宋体" w:cs="宋体"/>
          <w:szCs w:val="21"/>
        </w:rPr>
        <w:t>同志，现任我单位职务，为法定代表人，特此证明。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代理人（签名）：性别：年龄：</w:t>
      </w:r>
    </w:p>
    <w:p>
      <w:pPr>
        <w:spacing w:line="360" w:lineRule="auto"/>
        <w:ind w:left="540" w:leftChars="257"/>
        <w:rPr>
          <w:rFonts w:ascii="宋体" w:hAnsi="宋体" w:cs="宋体"/>
          <w:szCs w:val="21"/>
        </w:rPr>
      </w:pPr>
      <w:r>
        <w:rPr>
          <w:rFonts w:hint="eastAsia" w:ascii="宋体" w:hAnsi="宋体" w:cs="宋体"/>
          <w:szCs w:val="21"/>
        </w:rPr>
        <w:t>联系电话：  手机：</w:t>
      </w:r>
    </w:p>
    <w:p>
      <w:pPr>
        <w:spacing w:line="360" w:lineRule="auto"/>
        <w:ind w:left="540" w:leftChars="257"/>
        <w:rPr>
          <w:rFonts w:ascii="宋体" w:hAnsi="宋体" w:cs="宋体"/>
          <w:szCs w:val="21"/>
          <w:u w:val="single"/>
        </w:rPr>
      </w:pPr>
      <w:r>
        <w:rPr>
          <w:rFonts w:hint="eastAsia" w:ascii="宋体" w:hAnsi="宋体" w:cs="宋体"/>
          <w:szCs w:val="21"/>
        </w:rPr>
        <w:t>身份证号码：职务：</w:t>
      </w:r>
    </w:p>
    <w:p>
      <w:pPr>
        <w:spacing w:line="360" w:lineRule="auto"/>
        <w:ind w:left="540" w:leftChars="257"/>
        <w:rPr>
          <w:rFonts w:ascii="宋体" w:hAnsi="宋体" w:cs="宋体"/>
          <w:szCs w:val="21"/>
        </w:rPr>
      </w:pPr>
      <w:r>
        <w:rPr>
          <w:rFonts w:hint="eastAsia" w:ascii="宋体" w:hAnsi="宋体" w:cs="宋体"/>
          <w:szCs w:val="21"/>
        </w:rPr>
        <w:t>投标人（盖章）：</w:t>
      </w:r>
    </w:p>
    <w:p>
      <w:pPr>
        <w:spacing w:line="360" w:lineRule="auto"/>
        <w:ind w:left="540" w:leftChars="257"/>
        <w:rPr>
          <w:rFonts w:ascii="宋体" w:hAnsi="宋体" w:cs="宋体"/>
          <w:szCs w:val="21"/>
        </w:rPr>
      </w:pPr>
      <w:r>
        <w:rPr>
          <w:rFonts w:hint="eastAsia" w:ascii="宋体" w:hAnsi="宋体" w:cs="宋体"/>
          <w:szCs w:val="21"/>
        </w:rPr>
        <w:t>法定代表人（签名）：</w:t>
      </w:r>
    </w:p>
    <w:p>
      <w:pPr>
        <w:spacing w:line="360" w:lineRule="auto"/>
        <w:ind w:left="540" w:leftChars="257"/>
        <w:rPr>
          <w:rFonts w:ascii="宋体" w:hAnsi="宋体" w:cs="宋体"/>
          <w:szCs w:val="21"/>
        </w:rPr>
      </w:pPr>
      <w:r>
        <w:rPr>
          <w:rFonts w:hint="eastAsia" w:ascii="宋体" w:hAnsi="宋体" w:cs="宋体"/>
          <w:szCs w:val="21"/>
        </w:rPr>
        <w:t>授权委托日期：年月 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5"/>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4"/>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7"/>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7"/>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p>
    <w:p>
      <w:pPr>
        <w:rPr>
          <w:rFonts w:ascii="宋体" w:hAnsi="宋体" w:cs="宋体"/>
          <w:szCs w:val="21"/>
        </w:rPr>
      </w:pPr>
      <w:r>
        <w:rPr>
          <w:rFonts w:hint="eastAsia" w:ascii="宋体" w:hAnsi="宋体" w:cs="宋体"/>
          <w:szCs w:val="21"/>
        </w:rPr>
        <w:t>供应商代表姓名：</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pStyle w:val="5"/>
        <w:jc w:val="center"/>
        <w:rPr>
          <w:rFonts w:cs="宋体"/>
          <w:szCs w:val="28"/>
        </w:rPr>
      </w:pPr>
      <w:r>
        <w:rPr>
          <w:rFonts w:hint="eastAsia" w:cs="宋体"/>
          <w:bCs w:val="0"/>
          <w:szCs w:val="28"/>
        </w:rPr>
        <w:t>七、</w:t>
      </w:r>
      <w:r>
        <w:rPr>
          <w:rFonts w:hint="eastAsia" w:cs="宋体"/>
          <w:szCs w:val="28"/>
        </w:rPr>
        <w:t>项目主要管理及技术人员情况</w:t>
      </w:r>
    </w:p>
    <w:p>
      <w:pPr>
        <w:widowControl/>
        <w:shd w:val="clear" w:color="auto" w:fill="FFFFFF"/>
        <w:spacing w:line="315" w:lineRule="atLeast"/>
        <w:jc w:val="center"/>
        <w:rPr>
          <w:rFonts w:ascii="微软雅黑" w:hAnsi="微软雅黑" w:cs="宋体"/>
          <w:color w:val="000000"/>
          <w:kern w:val="0"/>
          <w:szCs w:val="21"/>
        </w:rPr>
      </w:pPr>
      <w:r>
        <w:rPr>
          <w:rFonts w:hint="eastAsia" w:ascii="宋体" w:hAnsi="宋体" w:cs="宋体"/>
          <w:color w:val="000000"/>
          <w:kern w:val="0"/>
          <w:szCs w:val="21"/>
        </w:rPr>
        <w:t> </w:t>
      </w:r>
    </w:p>
    <w:tbl>
      <w:tblPr>
        <w:tblStyle w:val="17"/>
        <w:tblW w:w="0" w:type="auto"/>
        <w:jc w:val="center"/>
        <w:tblLayout w:type="autofit"/>
        <w:tblCellMar>
          <w:top w:w="0" w:type="dxa"/>
          <w:left w:w="0" w:type="dxa"/>
          <w:bottom w:w="0" w:type="dxa"/>
          <w:right w:w="0" w:type="dxa"/>
        </w:tblCellMar>
      </w:tblPr>
      <w:tblGrid>
        <w:gridCol w:w="1112"/>
        <w:gridCol w:w="766"/>
        <w:gridCol w:w="898"/>
        <w:gridCol w:w="1041"/>
        <w:gridCol w:w="1210"/>
        <w:gridCol w:w="1310"/>
        <w:gridCol w:w="1092"/>
        <w:gridCol w:w="1093"/>
      </w:tblGrid>
      <w:tr>
        <w:tblPrEx>
          <w:tblCellMar>
            <w:top w:w="0" w:type="dxa"/>
            <w:left w:w="0" w:type="dxa"/>
            <w:bottom w:w="0" w:type="dxa"/>
            <w:right w:w="0" w:type="dxa"/>
          </w:tblCellMar>
        </w:tblPrEx>
        <w:trPr>
          <w:jc w:val="center"/>
        </w:trPr>
        <w:tc>
          <w:tcPr>
            <w:tcW w:w="11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类别</w:t>
            </w:r>
          </w:p>
        </w:tc>
        <w:tc>
          <w:tcPr>
            <w:tcW w:w="78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职务</w:t>
            </w:r>
          </w:p>
        </w:tc>
        <w:tc>
          <w:tcPr>
            <w:tcW w:w="92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姓名</w:t>
            </w:r>
          </w:p>
        </w:tc>
        <w:tc>
          <w:tcPr>
            <w:tcW w:w="108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职称</w:t>
            </w:r>
          </w:p>
        </w:tc>
        <w:tc>
          <w:tcPr>
            <w:tcW w:w="4894"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360" w:lineRule="atLeast"/>
              <w:jc w:val="center"/>
              <w:rPr>
                <w:rFonts w:ascii="宋体" w:hAnsi="宋体" w:cs="宋体"/>
                <w:kern w:val="0"/>
                <w:szCs w:val="21"/>
              </w:rPr>
            </w:pPr>
            <w:r>
              <w:rPr>
                <w:rFonts w:hint="eastAsia" w:ascii="宋体" w:hAnsi="宋体" w:cs="宋体"/>
                <w:kern w:val="0"/>
                <w:szCs w:val="21"/>
              </w:rPr>
              <w:t>上岗资格证明</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Cs w:val="21"/>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center"/>
              <w:rPr>
                <w:rFonts w:ascii="宋体" w:hAnsi="宋体" w:cs="宋体"/>
                <w:kern w:val="0"/>
                <w:szCs w:val="21"/>
              </w:rPr>
            </w:pPr>
            <w:r>
              <w:rPr>
                <w:rFonts w:hint="eastAsia" w:ascii="宋体" w:hAnsi="宋体" w:cs="宋体"/>
                <w:kern w:val="0"/>
                <w:szCs w:val="21"/>
              </w:rPr>
              <w:t>证书名称</w:t>
            </w:r>
          </w:p>
        </w:tc>
        <w:tc>
          <w:tcPr>
            <w:tcW w:w="136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center"/>
              <w:rPr>
                <w:rFonts w:ascii="宋体" w:hAnsi="宋体" w:cs="宋体"/>
                <w:kern w:val="0"/>
                <w:szCs w:val="21"/>
              </w:rPr>
            </w:pPr>
            <w:r>
              <w:rPr>
                <w:rFonts w:hint="eastAsia" w:ascii="宋体" w:hAnsi="宋体" w:cs="宋体"/>
                <w:kern w:val="0"/>
                <w:szCs w:val="21"/>
              </w:rPr>
              <w:t>级别</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center"/>
              <w:rPr>
                <w:rFonts w:ascii="宋体" w:hAnsi="宋体" w:cs="宋体"/>
                <w:kern w:val="0"/>
                <w:szCs w:val="21"/>
              </w:rPr>
            </w:pPr>
            <w:r>
              <w:rPr>
                <w:rFonts w:hint="eastAsia" w:ascii="宋体" w:hAnsi="宋体" w:cs="宋体"/>
                <w:kern w:val="0"/>
                <w:szCs w:val="21"/>
              </w:rPr>
              <w:t>证号</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center"/>
              <w:rPr>
                <w:rFonts w:ascii="宋体" w:hAnsi="宋体" w:cs="宋体"/>
                <w:kern w:val="0"/>
                <w:szCs w:val="21"/>
              </w:rPr>
            </w:pPr>
            <w:r>
              <w:rPr>
                <w:rFonts w:hint="eastAsia" w:ascii="宋体" w:hAnsi="宋体" w:cs="宋体"/>
                <w:kern w:val="0"/>
                <w:szCs w:val="21"/>
              </w:rPr>
              <w:t>专业</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cs="宋体"/>
                <w:kern w:val="0"/>
                <w:szCs w:val="21"/>
              </w:rPr>
            </w:pPr>
            <w:r>
              <w:rPr>
                <w:rFonts w:hint="eastAsia" w:ascii="宋体" w:hAnsi="宋体" w:cs="宋体"/>
                <w:kern w:val="0"/>
                <w:szCs w:val="21"/>
              </w:rPr>
              <w:t>技术人员</w:t>
            </w:r>
          </w:p>
        </w:tc>
        <w:tc>
          <w:tcPr>
            <w:tcW w:w="78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cs="宋体"/>
                <w:kern w:val="0"/>
                <w:szCs w:val="21"/>
              </w:rPr>
            </w:pPr>
            <w:r>
              <w:rPr>
                <w:rFonts w:hint="eastAsia" w:ascii="宋体" w:hAnsi="宋体" w:cs="宋体"/>
                <w:kern w:val="0"/>
                <w:szCs w:val="21"/>
              </w:rPr>
              <w:t> </w:t>
            </w:r>
          </w:p>
        </w:tc>
        <w:tc>
          <w:tcPr>
            <w:tcW w:w="92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cs="宋体"/>
                <w:kern w:val="0"/>
                <w:szCs w:val="21"/>
              </w:rPr>
            </w:pPr>
            <w:r>
              <w:rPr>
                <w:rFonts w:hint="eastAsia" w:ascii="宋体" w:hAnsi="宋体" w:cs="宋体"/>
                <w:kern w:val="0"/>
                <w:szCs w:val="21"/>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cs="宋体"/>
                <w:kern w:val="0"/>
                <w:szCs w:val="21"/>
              </w:rPr>
            </w:pPr>
            <w:r>
              <w:rPr>
                <w:rFonts w:hint="eastAsia" w:ascii="宋体" w:hAnsi="宋体" w:cs="宋体"/>
                <w:kern w:val="0"/>
                <w:szCs w:val="21"/>
              </w:rPr>
              <w:t> </w:t>
            </w:r>
          </w:p>
        </w:tc>
        <w:tc>
          <w:tcPr>
            <w:tcW w:w="136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cs="宋体"/>
                <w:kern w:val="0"/>
                <w:szCs w:val="21"/>
              </w:rPr>
            </w:pPr>
            <w:r>
              <w:rPr>
                <w:rFonts w:hint="eastAsia" w:ascii="宋体" w:hAnsi="宋体" w:cs="宋体"/>
                <w:kern w:val="0"/>
                <w:szCs w:val="21"/>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cs="宋体"/>
                <w:kern w:val="0"/>
                <w:szCs w:val="21"/>
              </w:rPr>
            </w:pPr>
            <w:r>
              <w:rPr>
                <w:rFonts w:hint="eastAsia" w:ascii="宋体" w:hAnsi="宋体" w:cs="宋体"/>
                <w:kern w:val="0"/>
                <w:szCs w:val="21"/>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cs="宋体"/>
                <w:kern w:val="0"/>
                <w:szCs w:val="21"/>
              </w:rPr>
            </w:pPr>
            <w:r>
              <w:rPr>
                <w:rFonts w:hint="eastAsia" w:ascii="宋体" w:hAnsi="宋体" w:cs="宋体"/>
                <w:kern w:val="0"/>
                <w:szCs w:val="21"/>
              </w:rPr>
              <w:t> </w:t>
            </w:r>
          </w:p>
        </w:tc>
      </w:tr>
    </w:tbl>
    <w:p>
      <w:pPr>
        <w:widowControl/>
        <w:shd w:val="clear" w:color="auto" w:fill="FFFFFF"/>
        <w:spacing w:line="360" w:lineRule="atLeast"/>
        <w:jc w:val="left"/>
        <w:rPr>
          <w:rFonts w:ascii="微软雅黑" w:hAnsi="微软雅黑" w:cs="宋体"/>
          <w:color w:val="000000"/>
          <w:kern w:val="0"/>
          <w:szCs w:val="21"/>
        </w:rPr>
      </w:pPr>
      <w:r>
        <w:rPr>
          <w:rFonts w:hint="eastAsia" w:ascii="宋体" w:hAnsi="宋体" w:cs="宋体"/>
          <w:b/>
          <w:bCs/>
          <w:color w:val="000000"/>
          <w:kern w:val="0"/>
          <w:sz w:val="22"/>
          <w:szCs w:val="22"/>
        </w:rPr>
        <w:t>附上证书复印件</w:t>
      </w:r>
    </w:p>
    <w:p/>
    <w:p>
      <w:pPr>
        <w:pStyle w:val="5"/>
        <w:jc w:val="center"/>
        <w:rPr>
          <w:rFonts w:cs="宋体"/>
          <w:bCs w:val="0"/>
          <w:szCs w:val="28"/>
        </w:rPr>
      </w:pPr>
      <w:r>
        <w:rPr>
          <w:rFonts w:hint="eastAsia" w:cs="宋体"/>
          <w:bCs w:val="0"/>
          <w:szCs w:val="28"/>
        </w:rPr>
        <w:t>八、商务需求偏离表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p>
    <w:p>
      <w:pPr>
        <w:rPr>
          <w:rFonts w:ascii="宋体" w:hAnsi="宋体" w:cs="宋体"/>
          <w:szCs w:val="21"/>
        </w:rPr>
      </w:pP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宋体" w:hAnsi="宋体" w:cs="宋体"/>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pStyle w:val="5"/>
        <w:jc w:val="center"/>
        <w:rPr>
          <w:rFonts w:cs="宋体"/>
          <w:kern w:val="0"/>
          <w:szCs w:val="28"/>
        </w:rPr>
      </w:pPr>
      <w:r>
        <w:rPr>
          <w:rFonts w:hint="eastAsia" w:cs="宋体"/>
          <w:kern w:val="0"/>
          <w:szCs w:val="28"/>
        </w:rPr>
        <w:t>九、技术保障措施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pStyle w:val="5"/>
        <w:jc w:val="center"/>
        <w:rPr>
          <w:rFonts w:cs="宋体"/>
          <w:kern w:val="0"/>
          <w:szCs w:val="28"/>
        </w:rPr>
      </w:pPr>
      <w:r>
        <w:rPr>
          <w:rFonts w:hint="eastAsia" w:cs="宋体"/>
          <w:kern w:val="0"/>
          <w:szCs w:val="28"/>
        </w:rPr>
        <w:t>十、实施安全保障措施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pStyle w:val="5"/>
        <w:jc w:val="center"/>
        <w:rPr>
          <w:rFonts w:cs="宋体"/>
          <w:kern w:val="0"/>
          <w:szCs w:val="28"/>
        </w:rPr>
      </w:pPr>
      <w:r>
        <w:rPr>
          <w:rFonts w:hint="eastAsia" w:cs="宋体"/>
          <w:kern w:val="0"/>
          <w:szCs w:val="28"/>
        </w:rPr>
        <w:t>十一、项目实施方案</w:t>
      </w:r>
    </w:p>
    <w:p>
      <w:pPr>
        <w:spacing w:line="324" w:lineRule="auto"/>
        <w:ind w:firstLine="420"/>
        <w:rPr>
          <w:szCs w:val="21"/>
        </w:rPr>
      </w:pPr>
      <w:r>
        <w:rPr>
          <w:rFonts w:hint="eastAsia"/>
          <w:szCs w:val="21"/>
        </w:rPr>
        <w:t>实施方案应包含但不局限于以下内容，且应严格执行国家和深圳市的消防维保法规及规范，保证消防设备、设施、系统、制度、日常运行满足相关法规和规范要求，保证通过相关消防检查。</w:t>
      </w:r>
    </w:p>
    <w:p>
      <w:pPr>
        <w:spacing w:line="324" w:lineRule="auto"/>
        <w:ind w:firstLine="420"/>
        <w:rPr>
          <w:szCs w:val="21"/>
        </w:rPr>
      </w:pPr>
      <w:r>
        <w:rPr>
          <w:rFonts w:hint="eastAsia"/>
          <w:szCs w:val="21"/>
        </w:rPr>
        <w:t>1.日常维护方案</w:t>
      </w:r>
    </w:p>
    <w:p>
      <w:pPr>
        <w:spacing w:line="324" w:lineRule="auto"/>
        <w:ind w:firstLine="420"/>
        <w:rPr>
          <w:szCs w:val="21"/>
        </w:rPr>
      </w:pPr>
      <w:r>
        <w:rPr>
          <w:rFonts w:hint="eastAsia"/>
          <w:szCs w:val="21"/>
        </w:rPr>
        <w:t>2.应急保障方案</w:t>
      </w:r>
    </w:p>
    <w:p>
      <w:pPr>
        <w:spacing w:line="324" w:lineRule="auto"/>
        <w:ind w:firstLine="420"/>
        <w:rPr>
          <w:rFonts w:ascii="微软雅黑" w:hAnsi="微软雅黑" w:cs="宋体"/>
          <w:color w:val="000000"/>
          <w:kern w:val="0"/>
          <w:szCs w:val="21"/>
        </w:rPr>
      </w:pPr>
      <w:r>
        <w:rPr>
          <w:rFonts w:hint="eastAsia"/>
          <w:szCs w:val="21"/>
        </w:rPr>
        <w:t>3.备品备件管理方案</w:t>
      </w:r>
      <w:r>
        <w:rPr>
          <w:rFonts w:hint="eastAsia" w:ascii="仿宋_GB2312" w:hAnsi="微软雅黑" w:eastAsia="仿宋_GB2312" w:cs="宋体"/>
          <w:color w:val="000000"/>
          <w:kern w:val="0"/>
          <w:sz w:val="24"/>
        </w:rPr>
        <w:t> </w:t>
      </w:r>
    </w:p>
    <w:p>
      <w:pPr>
        <w:rPr>
          <w:rFonts w:ascii="宋体" w:hAnsi="宋体" w:cs="宋体"/>
          <w:b/>
          <w:bCs/>
          <w:sz w:val="24"/>
        </w:rPr>
      </w:pPr>
      <w:r>
        <w:rPr>
          <w:rFonts w:hint="eastAsia" w:ascii="宋体" w:hAnsi="宋体" w:cs="宋体"/>
          <w:b/>
          <w:bCs/>
          <w:szCs w:val="21"/>
        </w:rPr>
        <w:t>（备注：该部分须与“技术保障措施”、“实施安全保障措施”、“商务需求”等部分承诺的内容相呼应，不得前后矛盾。）</w:t>
      </w:r>
    </w:p>
    <w:p>
      <w:pPr>
        <w:pStyle w:val="5"/>
        <w:jc w:val="center"/>
        <w:rPr>
          <w:rFonts w:cs="宋体"/>
          <w:kern w:val="0"/>
          <w:szCs w:val="28"/>
        </w:rPr>
      </w:pPr>
      <w:r>
        <w:rPr>
          <w:rFonts w:hint="eastAsia" w:cs="宋体"/>
          <w:kern w:val="0"/>
          <w:szCs w:val="28"/>
        </w:rPr>
        <w:t>十二、售后服务方案</w:t>
      </w: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b/>
          <w:szCs w:val="21"/>
        </w:rPr>
      </w:pPr>
      <w:r>
        <w:rPr>
          <w:rFonts w:hint="eastAsia" w:ascii="宋体" w:hAnsi="宋体" w:cs="宋体"/>
          <w:b/>
          <w:szCs w:val="21"/>
        </w:rPr>
        <w:t>（备注：该部分须与“商务需求”承诺的内容相呼应，不得前后矛盾。）</w:t>
      </w:r>
    </w:p>
    <w:p>
      <w:pPr>
        <w:pStyle w:val="1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6"/>
    <w:multiLevelType w:val="multilevel"/>
    <w:tmpl w:val="00000006"/>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A14CBB"/>
    <w:multiLevelType w:val="singleLevel"/>
    <w:tmpl w:val="6BA14CBB"/>
    <w:lvl w:ilvl="0" w:tentative="0">
      <w:start w:val="1"/>
      <w:numFmt w:val="chineseCountingThousand"/>
      <w:lvlText w:val="%1、"/>
      <w:lvlJc w:val="left"/>
      <w:pPr>
        <w:ind w:left="284" w:hanging="284"/>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ThmNzdiMWMyNmEzNjg0MTdhYmRhZDhiMDE0OTEifQ=="/>
  </w:docVars>
  <w:rsids>
    <w:rsidRoot w:val="003C791B"/>
    <w:rsid w:val="000366E0"/>
    <w:rsid w:val="001329C2"/>
    <w:rsid w:val="00155466"/>
    <w:rsid w:val="00166B02"/>
    <w:rsid w:val="00250205"/>
    <w:rsid w:val="002836E3"/>
    <w:rsid w:val="002D4849"/>
    <w:rsid w:val="002D5D4D"/>
    <w:rsid w:val="003477F6"/>
    <w:rsid w:val="003C791B"/>
    <w:rsid w:val="003E3B52"/>
    <w:rsid w:val="0050444D"/>
    <w:rsid w:val="00562DBD"/>
    <w:rsid w:val="006A30AB"/>
    <w:rsid w:val="007721A9"/>
    <w:rsid w:val="007B2392"/>
    <w:rsid w:val="007F54C1"/>
    <w:rsid w:val="0082596F"/>
    <w:rsid w:val="00827122"/>
    <w:rsid w:val="00865EFE"/>
    <w:rsid w:val="00866FDA"/>
    <w:rsid w:val="008D3160"/>
    <w:rsid w:val="008D7494"/>
    <w:rsid w:val="00951B92"/>
    <w:rsid w:val="009B6829"/>
    <w:rsid w:val="00AA46BE"/>
    <w:rsid w:val="00B50646"/>
    <w:rsid w:val="00BD541C"/>
    <w:rsid w:val="00C222CB"/>
    <w:rsid w:val="00CC1B82"/>
    <w:rsid w:val="00DA4083"/>
    <w:rsid w:val="00DC5A43"/>
    <w:rsid w:val="00DC68E4"/>
    <w:rsid w:val="00E53330"/>
    <w:rsid w:val="00EB7704"/>
    <w:rsid w:val="00F7724F"/>
    <w:rsid w:val="018B322F"/>
    <w:rsid w:val="03F75F59"/>
    <w:rsid w:val="1EE905A9"/>
    <w:rsid w:val="397502D8"/>
    <w:rsid w:val="44BE763F"/>
    <w:rsid w:val="5D1E5226"/>
    <w:rsid w:val="78AD2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340" w:after="330" w:line="360" w:lineRule="auto"/>
      <w:jc w:val="center"/>
      <w:outlineLvl w:val="0"/>
    </w:pPr>
    <w:rPr>
      <w:kern w:val="44"/>
      <w:sz w:val="32"/>
      <w:szCs w:val="36"/>
    </w:rPr>
  </w:style>
  <w:style w:type="paragraph" w:styleId="4">
    <w:name w:val="heading 2"/>
    <w:basedOn w:val="5"/>
    <w:next w:val="6"/>
    <w:qFormat/>
    <w:uiPriority w:val="0"/>
    <w:pPr>
      <w:adjustRightInd w:val="0"/>
      <w:jc w:val="center"/>
      <w:textAlignment w:val="baseline"/>
      <w:outlineLvl w:val="1"/>
    </w:pPr>
    <w:rPr>
      <w:bCs w:val="0"/>
      <w:kern w:val="0"/>
      <w:szCs w:val="20"/>
    </w:rPr>
  </w:style>
  <w:style w:type="paragraph" w:styleId="5">
    <w:name w:val="heading 3"/>
    <w:basedOn w:val="6"/>
    <w:next w:val="1"/>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7">
    <w:name w:val="Normal Indent"/>
    <w:basedOn w:val="1"/>
    <w:qFormat/>
    <w:uiPriority w:val="0"/>
    <w:pPr>
      <w:ind w:firstLine="420" w:firstLineChars="200"/>
    </w:pPr>
  </w:style>
  <w:style w:type="paragraph" w:styleId="8">
    <w:name w:val="annotation text"/>
    <w:basedOn w:val="1"/>
    <w:link w:val="30"/>
    <w:qFormat/>
    <w:uiPriority w:val="0"/>
    <w:pPr>
      <w:jc w:val="left"/>
    </w:pPr>
  </w:style>
  <w:style w:type="paragraph" w:styleId="9">
    <w:name w:val="Body Text Indent"/>
    <w:basedOn w:val="1"/>
    <w:next w:val="10"/>
    <w:qFormat/>
    <w:uiPriority w:val="0"/>
    <w:pPr>
      <w:spacing w:line="360" w:lineRule="auto"/>
      <w:ind w:firstLine="420" w:firstLineChars="200"/>
    </w:pPr>
  </w:style>
  <w:style w:type="paragraph" w:styleId="10">
    <w:name w:val="Body Text First Indent 2"/>
    <w:basedOn w:val="9"/>
    <w:qFormat/>
    <w:uiPriority w:val="99"/>
    <w:pPr>
      <w:spacing w:after="120"/>
      <w:ind w:left="420" w:leftChars="200"/>
    </w:pPr>
    <w:rPr>
      <w:rFonts w:ascii="Calibri" w:hAnsi="Calibri"/>
      <w:szCs w:val="22"/>
    </w:rPr>
  </w:style>
  <w:style w:type="paragraph" w:styleId="11">
    <w:name w:val="toc 5"/>
    <w:basedOn w:val="1"/>
    <w:next w:val="1"/>
    <w:qFormat/>
    <w:uiPriority w:val="0"/>
    <w:pPr>
      <w:ind w:left="840"/>
      <w:jc w:val="left"/>
    </w:pPr>
    <w:rPr>
      <w:rFonts w:ascii="Calibri" w:hAnsi="Calibri"/>
      <w:sz w:val="18"/>
      <w:szCs w:val="18"/>
    </w:r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Normal (Web)"/>
    <w:basedOn w:val="1"/>
    <w:qFormat/>
    <w:uiPriority w:val="0"/>
    <w:rPr>
      <w:sz w:val="24"/>
    </w:rPr>
  </w:style>
  <w:style w:type="paragraph" w:styleId="16">
    <w:name w:val="annotation subject"/>
    <w:basedOn w:val="8"/>
    <w:next w:val="8"/>
    <w:link w:val="31"/>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qFormat/>
    <w:uiPriority w:val="0"/>
    <w:rPr>
      <w:color w:val="954F72"/>
      <w:u w:val="single"/>
    </w:rPr>
  </w:style>
  <w:style w:type="character" w:styleId="22">
    <w:name w:val="Emphasis"/>
    <w:qFormat/>
    <w:uiPriority w:val="20"/>
    <w:rPr>
      <w:i/>
      <w:iCs/>
    </w:r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paragraph" w:customStyle="1" w:styleId="25">
    <w:name w:val="列表 21"/>
    <w:basedOn w:val="1"/>
    <w:qFormat/>
    <w:uiPriority w:val="0"/>
    <w:pPr>
      <w:suppressAutoHyphens/>
      <w:ind w:left="100" w:hanging="200"/>
    </w:pPr>
    <w:rPr>
      <w:kern w:val="1"/>
    </w:rPr>
  </w:style>
  <w:style w:type="paragraph" w:customStyle="1" w:styleId="26">
    <w:name w:val="表格文字"/>
    <w:basedOn w:val="1"/>
    <w:qFormat/>
    <w:uiPriority w:val="99"/>
    <w:pPr>
      <w:spacing w:before="25" w:after="25"/>
    </w:pPr>
    <w:rPr>
      <w:spacing w:val="10"/>
      <w:sz w:val="24"/>
    </w:rPr>
  </w:style>
  <w:style w:type="character" w:customStyle="1" w:styleId="27">
    <w:name w:val="标题 3 Char"/>
    <w:qFormat/>
    <w:uiPriority w:val="0"/>
    <w:rPr>
      <w:rFonts w:ascii="黑体" w:eastAsia="黑体"/>
      <w:bCs/>
      <w:sz w:val="30"/>
    </w:rPr>
  </w:style>
  <w:style w:type="character" w:customStyle="1" w:styleId="28">
    <w:name w:val="未处理的提及1"/>
    <w:basedOn w:val="19"/>
    <w:qFormat/>
    <w:uiPriority w:val="99"/>
    <w:rPr>
      <w:color w:val="605E5C"/>
      <w:shd w:val="clear" w:color="auto" w:fill="E1DFDD"/>
    </w:rPr>
  </w:style>
  <w:style w:type="character" w:customStyle="1" w:styleId="29">
    <w:name w:val="批注框文本 字符"/>
    <w:basedOn w:val="19"/>
    <w:link w:val="12"/>
    <w:qFormat/>
    <w:uiPriority w:val="0"/>
    <w:rPr>
      <w:kern w:val="2"/>
      <w:sz w:val="18"/>
      <w:szCs w:val="18"/>
    </w:rPr>
  </w:style>
  <w:style w:type="character" w:customStyle="1" w:styleId="30">
    <w:name w:val="批注文字 字符"/>
    <w:basedOn w:val="19"/>
    <w:link w:val="8"/>
    <w:qFormat/>
    <w:uiPriority w:val="0"/>
    <w:rPr>
      <w:kern w:val="2"/>
      <w:sz w:val="21"/>
      <w:szCs w:val="24"/>
    </w:rPr>
  </w:style>
  <w:style w:type="character" w:customStyle="1" w:styleId="31">
    <w:name w:val="批注主题 字符"/>
    <w:basedOn w:val="30"/>
    <w:link w:val="16"/>
    <w:qFormat/>
    <w:uiPriority w:val="0"/>
    <w:rPr>
      <w:b/>
      <w:bCs/>
      <w:kern w:val="2"/>
      <w:sz w:val="21"/>
      <w:szCs w:val="24"/>
    </w:rPr>
  </w:style>
  <w:style w:type="paragraph" w:customStyle="1" w:styleId="32">
    <w:name w:val="列出段落1"/>
    <w:basedOn w:val="1"/>
    <w:link w:val="35"/>
    <w:qFormat/>
    <w:uiPriority w:val="0"/>
    <w:pPr>
      <w:ind w:firstLine="420" w:firstLineChars="200"/>
    </w:pPr>
  </w:style>
  <w:style w:type="paragraph" w:styleId="33">
    <w:name w:val="List Paragraph"/>
    <w:basedOn w:val="1"/>
    <w:qFormat/>
    <w:uiPriority w:val="34"/>
    <w:pPr>
      <w:ind w:firstLine="420" w:firstLineChars="200"/>
    </w:pPr>
  </w:style>
  <w:style w:type="paragraph" w:customStyle="1" w:styleId="34">
    <w:name w:val="fc1"/>
    <w:basedOn w:val="1"/>
    <w:qFormat/>
    <w:uiPriority w:val="0"/>
    <w:pPr>
      <w:widowControl/>
      <w:spacing w:before="100" w:beforeAutospacing="1" w:after="100" w:afterAutospacing="1"/>
      <w:jc w:val="left"/>
    </w:pPr>
    <w:rPr>
      <w:rFonts w:ascii="宋体" w:hAnsi="宋体" w:cs="宋体"/>
      <w:kern w:val="0"/>
      <w:sz w:val="24"/>
    </w:rPr>
  </w:style>
  <w:style w:type="character" w:customStyle="1" w:styleId="35">
    <w:name w:val="列表段落 字符"/>
    <w:link w:val="3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1697</Words>
  <Characters>9673</Characters>
  <Lines>80</Lines>
  <Paragraphs>22</Paragraphs>
  <TotalTime>0</TotalTime>
  <ScaleCrop>false</ScaleCrop>
  <LinksUpToDate>false</LinksUpToDate>
  <CharactersWithSpaces>11348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Cindy Yao</cp:lastModifiedBy>
  <cp:lastPrinted>2024-05-30T07:39:00Z</cp:lastPrinted>
  <dcterms:modified xsi:type="dcterms:W3CDTF">2024-07-05T12:17:55Z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20c69676f0ba484a9d98e909ea83e684_23</vt:lpwstr>
  </property>
</Properties>
</file>